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09FB" w:rsidRPr="009B1CC4" w:rsidRDefault="00C4691E">
      <w:pPr>
        <w:pStyle w:val="berschrift1"/>
        <w:ind w:left="-5"/>
        <w:rPr>
          <w:lang w:val="en-US"/>
        </w:rPr>
      </w:pPr>
      <w:bookmarkStart w:id="0" w:name="_GoBack"/>
      <w:bookmarkEnd w:id="0"/>
      <w:r w:rsidRPr="009B1CC4">
        <w:rPr>
          <w:lang w:val="en-US"/>
        </w:rPr>
        <w:t xml:space="preserve">Weidmüller receives Top Employer award again </w:t>
      </w:r>
    </w:p>
    <w:p w:rsidR="000909FB" w:rsidRPr="009B1CC4" w:rsidRDefault="00C4691E">
      <w:pPr>
        <w:ind w:left="-5" w:right="12"/>
        <w:rPr>
          <w:lang w:val="en-US"/>
        </w:rPr>
      </w:pPr>
      <w:r w:rsidRPr="009B1CC4">
        <w:rPr>
          <w:lang w:val="en-US"/>
        </w:rPr>
        <w:t xml:space="preserve">Top Employer Engineers 2020 – the family-owned company receives the award from the Top Employers Institute for the twelfth time </w:t>
      </w:r>
    </w:p>
    <w:p w:rsidR="000909FB" w:rsidRPr="009B1CC4" w:rsidRDefault="00C4691E">
      <w:pPr>
        <w:spacing w:after="105" w:line="259" w:lineRule="auto"/>
        <w:ind w:left="0" w:firstLine="0"/>
        <w:jc w:val="left"/>
        <w:rPr>
          <w:lang w:val="en-US"/>
        </w:rPr>
      </w:pPr>
      <w:r w:rsidRPr="009B1CC4">
        <w:rPr>
          <w:lang w:val="en-US"/>
        </w:rPr>
        <w:t xml:space="preserve"> </w:t>
      </w:r>
    </w:p>
    <w:p w:rsidR="000909FB" w:rsidRDefault="00C4691E">
      <w:pPr>
        <w:ind w:left="-5" w:right="12"/>
      </w:pPr>
      <w:r>
        <w:rPr>
          <w:b/>
        </w:rPr>
        <w:t xml:space="preserve">Detmold, 7 February 2020. </w:t>
      </w:r>
      <w:r>
        <w:t xml:space="preserve">Committed human resources management, excellent employee conditions and a harmonious work environment: The Top Employers Institute presented the Detmold-based electrical engineering firm </w:t>
      </w:r>
    </w:p>
    <w:p w:rsidR="000909FB" w:rsidRDefault="00C4691E">
      <w:pPr>
        <w:spacing w:after="106" w:line="259" w:lineRule="auto"/>
        <w:ind w:left="-5" w:right="12"/>
      </w:pPr>
      <w:r>
        <w:t>Weidmüller with the ‘Top Employer Engineers 2020’ award for the twel</w:t>
      </w:r>
      <w:r>
        <w:t xml:space="preserve">fth time.  </w:t>
      </w:r>
    </w:p>
    <w:p w:rsidR="000909FB" w:rsidRDefault="00C4691E">
      <w:pPr>
        <w:spacing w:after="105" w:line="259" w:lineRule="auto"/>
        <w:ind w:left="0" w:firstLine="0"/>
        <w:jc w:val="left"/>
      </w:pPr>
      <w:r>
        <w:t xml:space="preserve"> </w:t>
      </w:r>
    </w:p>
    <w:p w:rsidR="000909FB" w:rsidRDefault="00C4691E">
      <w:pPr>
        <w:pStyle w:val="berschrift1"/>
        <w:ind w:left="-5"/>
      </w:pPr>
      <w:r>
        <w:t xml:space="preserve">Employees are at the heart of business operations </w:t>
      </w:r>
    </w:p>
    <w:p w:rsidR="000909FB" w:rsidRDefault="00C4691E">
      <w:pPr>
        <w:spacing w:after="107" w:line="259" w:lineRule="auto"/>
        <w:ind w:left="-5" w:right="12"/>
      </w:pPr>
      <w:r>
        <w:t xml:space="preserve">“We're delighted to have been presented with the ‘Top Employer Engineers </w:t>
      </w:r>
    </w:p>
    <w:p w:rsidR="000909FB" w:rsidRDefault="00C4691E">
      <w:pPr>
        <w:ind w:left="-5" w:right="12"/>
      </w:pPr>
      <w:r>
        <w:t>2020’ award for the twelfth time,” says Andreas Grieger, Executive Vice President Global Human Resources at Weidmülle</w:t>
      </w:r>
      <w:r>
        <w:t>r. After all, the award demonstrates that the family-owned company puts its employees at the heart of its business operations and continues to create an employee-friendly working environment. “We can only achieve our business goals if our employees are sat</w:t>
      </w:r>
      <w:r>
        <w:t xml:space="preserve">isfied and motivated in the workplace,” adds Grieger.  </w:t>
      </w:r>
    </w:p>
    <w:p w:rsidR="000909FB" w:rsidRDefault="00C4691E">
      <w:pPr>
        <w:spacing w:after="105" w:line="259" w:lineRule="auto"/>
        <w:ind w:left="0" w:firstLine="0"/>
        <w:jc w:val="left"/>
      </w:pPr>
      <w:r>
        <w:t xml:space="preserve"> </w:t>
      </w:r>
    </w:p>
    <w:p w:rsidR="000909FB" w:rsidRDefault="00C4691E">
      <w:pPr>
        <w:pStyle w:val="berschrift1"/>
        <w:ind w:left="-5"/>
      </w:pPr>
      <w:r>
        <w:t xml:space="preserve">Human resources planning and leadership development </w:t>
      </w:r>
    </w:p>
    <w:p w:rsidR="000909FB" w:rsidRDefault="00C4691E">
      <w:pPr>
        <w:ind w:left="-5" w:right="12"/>
      </w:pPr>
      <w:r>
        <w:t>Weidmüller won over the independent jury this year in particular in the areas of human resources planning and leadership development. What's more</w:t>
      </w:r>
      <w:r>
        <w:t>, the group company had grown in various areas compared with the previous year, especially in terms of its talent strategy. “The award confirms that at Weidmüller the combination of growth, challenges in digitalisation and new workplace design is always sh</w:t>
      </w:r>
      <w:r>
        <w:t xml:space="preserve">aped in a way that is focused upon the employees,” continues Grieger.  </w:t>
      </w:r>
    </w:p>
    <w:p w:rsidR="000909FB" w:rsidRDefault="00C4691E">
      <w:pPr>
        <w:spacing w:after="105" w:line="259" w:lineRule="auto"/>
        <w:ind w:left="0" w:firstLine="0"/>
        <w:jc w:val="left"/>
      </w:pPr>
      <w:r>
        <w:t xml:space="preserve"> </w:t>
      </w:r>
    </w:p>
    <w:p w:rsidR="000909FB" w:rsidRDefault="00C4691E">
      <w:pPr>
        <w:pStyle w:val="berschrift1"/>
        <w:ind w:left="-5"/>
      </w:pPr>
      <w:r>
        <w:t xml:space="preserve">Employee needs are a priority </w:t>
      </w:r>
    </w:p>
    <w:p w:rsidR="000909FB" w:rsidRDefault="00C4691E">
      <w:pPr>
        <w:ind w:left="-5" w:right="12"/>
      </w:pPr>
      <w:r>
        <w:t>A guiding principle applies at Weidmüller: Understand the employees' needs and create good working conditions. To grow employees' skills, the Weidmülle</w:t>
      </w:r>
      <w:r>
        <w:t xml:space="preserve">r Academy offers many further and advanced training opportunities. What's more, employees also enjoy a range of health management initiatives: with various opportunities for sport, health and work-life balance. </w:t>
      </w:r>
    </w:p>
    <w:p w:rsidR="000909FB" w:rsidRDefault="00C4691E">
      <w:pPr>
        <w:spacing w:after="0" w:line="259" w:lineRule="auto"/>
        <w:ind w:left="0" w:firstLine="0"/>
        <w:jc w:val="left"/>
      </w:pPr>
      <w:r>
        <w:lastRenderedPageBreak/>
        <w:t xml:space="preserve"> </w:t>
      </w:r>
    </w:p>
    <w:p w:rsidR="000909FB" w:rsidRDefault="00C4691E">
      <w:pPr>
        <w:pStyle w:val="berschrift1"/>
        <w:ind w:left="-5"/>
      </w:pPr>
      <w:r>
        <w:t xml:space="preserve">“For a better world of work” </w:t>
      </w:r>
    </w:p>
    <w:p w:rsidR="000909FB" w:rsidRDefault="00C4691E">
      <w:pPr>
        <w:ind w:left="-5" w:right="12"/>
      </w:pPr>
      <w:r>
        <w:t>To be recogn</w:t>
      </w:r>
      <w:r>
        <w:t>ised as a Top Employer, as part of a multi-stage evaluation process, a company must prove that the implementation of its human resources strategy enriches the working lives of its employees. Weidmüller convinced the objective and independent jury of its at</w:t>
      </w:r>
      <w:r>
        <w:t xml:space="preserve">tractiveness to engineers. “Certified companies are a great example of committed human resources management, ongoing improvement and the promise: ‘For a better world of work’,” emphasises David Plink, CEO of the Top Employers Institute.  </w:t>
      </w:r>
    </w:p>
    <w:p w:rsidR="000909FB" w:rsidRDefault="00C4691E">
      <w:pPr>
        <w:spacing w:after="105" w:line="259" w:lineRule="auto"/>
        <w:ind w:left="0" w:firstLine="0"/>
        <w:jc w:val="left"/>
      </w:pPr>
      <w:r>
        <w:t xml:space="preserve"> </w:t>
      </w:r>
    </w:p>
    <w:p w:rsidR="000909FB" w:rsidRDefault="00C4691E">
      <w:pPr>
        <w:pStyle w:val="berschrift1"/>
        <w:ind w:left="-5"/>
      </w:pPr>
      <w:r>
        <w:t>About the Top E</w:t>
      </w:r>
      <w:r>
        <w:t xml:space="preserve">mployers Institute </w:t>
      </w:r>
    </w:p>
    <w:p w:rsidR="000909FB" w:rsidRDefault="00C4691E">
      <w:pPr>
        <w:ind w:left="-5" w:right="12"/>
      </w:pPr>
      <w:r>
        <w:t>The Top Employers Institute was founded more than 28 years ago and has been examining employers around the world who have outstanding staff management and strategies in place. It focuses on various areas of practice, including talent strategy, human resour</w:t>
      </w:r>
      <w:r>
        <w:t xml:space="preserve">ces planning, talent acquisition, onboarding, training &amp; development, performance management, leadership development, career and succession planning, compensation &amp; benefits and corporate culture. </w:t>
      </w:r>
    </w:p>
    <w:p w:rsidR="000909FB" w:rsidRDefault="00C4691E">
      <w:pPr>
        <w:spacing w:after="67" w:line="259" w:lineRule="auto"/>
        <w:ind w:left="0" w:firstLine="0"/>
        <w:jc w:val="left"/>
      </w:pPr>
      <w:r>
        <w:t xml:space="preserve"> </w:t>
      </w:r>
    </w:p>
    <w:p w:rsidR="000909FB" w:rsidRDefault="00C4691E">
      <w:pPr>
        <w:spacing w:after="118" w:line="259" w:lineRule="auto"/>
        <w:ind w:left="-5"/>
      </w:pPr>
      <w:r>
        <w:rPr>
          <w:sz w:val="18"/>
        </w:rPr>
        <w:t xml:space="preserve">3.451 Zeichen inklusive Leerzeichen </w:t>
      </w:r>
    </w:p>
    <w:p w:rsidR="000909FB" w:rsidRDefault="00C4691E">
      <w:pPr>
        <w:spacing w:after="19" w:line="259" w:lineRule="auto"/>
        <w:ind w:left="-1" w:right="1619" w:firstLine="0"/>
        <w:jc w:val="center"/>
      </w:pPr>
      <w:r>
        <w:rPr>
          <w:noProof/>
        </w:rPr>
        <w:drawing>
          <wp:inline distT="0" distB="0" distL="0" distR="0">
            <wp:extent cx="3810000" cy="2540000"/>
            <wp:effectExtent l="0" t="0" r="0" b="0"/>
            <wp:docPr id="141" name="Picture 141"/>
            <wp:cNvGraphicFramePr/>
            <a:graphic xmlns:a="http://schemas.openxmlformats.org/drawingml/2006/main">
              <a:graphicData uri="http://schemas.openxmlformats.org/drawingml/2006/picture">
                <pic:pic xmlns:pic="http://schemas.openxmlformats.org/drawingml/2006/picture">
                  <pic:nvPicPr>
                    <pic:cNvPr id="141" name="Picture 141"/>
                    <pic:cNvPicPr/>
                  </pic:nvPicPr>
                  <pic:blipFill>
                    <a:blip r:embed="rId6"/>
                    <a:stretch>
                      <a:fillRect/>
                    </a:stretch>
                  </pic:blipFill>
                  <pic:spPr>
                    <a:xfrm>
                      <a:off x="0" y="0"/>
                      <a:ext cx="3810000" cy="2540000"/>
                    </a:xfrm>
                    <a:prstGeom prst="rect">
                      <a:avLst/>
                    </a:prstGeom>
                  </pic:spPr>
                </pic:pic>
              </a:graphicData>
            </a:graphic>
          </wp:inline>
        </w:drawing>
      </w:r>
      <w:r>
        <w:t xml:space="preserve"> </w:t>
      </w:r>
    </w:p>
    <w:p w:rsidR="000909FB" w:rsidRDefault="00C4691E">
      <w:pPr>
        <w:spacing w:after="37" w:line="360" w:lineRule="auto"/>
        <w:ind w:left="-5"/>
      </w:pPr>
      <w:r>
        <w:rPr>
          <w:sz w:val="18"/>
        </w:rPr>
        <w:t>Image caption: B</w:t>
      </w:r>
      <w:r>
        <w:rPr>
          <w:sz w:val="18"/>
        </w:rPr>
        <w:t xml:space="preserve">ernd Konschak, Senior HR Manager Marketing (l), accepted the award from Steffen Neefe, Country Manager DACH at the Top Employers Institute (r). (Copyright: Florian Grob) </w:t>
      </w:r>
    </w:p>
    <w:p w:rsidR="000909FB" w:rsidRDefault="00C4691E">
      <w:pPr>
        <w:spacing w:after="67" w:line="259" w:lineRule="auto"/>
        <w:ind w:left="0" w:firstLine="0"/>
        <w:jc w:val="left"/>
      </w:pPr>
      <w:r>
        <w:t xml:space="preserve"> </w:t>
      </w:r>
    </w:p>
    <w:p w:rsidR="000909FB" w:rsidRDefault="00C4691E">
      <w:pPr>
        <w:spacing w:after="0" w:line="259" w:lineRule="auto"/>
        <w:ind w:left="0" w:firstLine="0"/>
        <w:jc w:val="left"/>
      </w:pPr>
      <w:r>
        <w:rPr>
          <w:b/>
          <w:sz w:val="18"/>
        </w:rPr>
        <w:t xml:space="preserve">Weidmüller – your partner in industrial connectivity. </w:t>
      </w:r>
    </w:p>
    <w:p w:rsidR="000909FB" w:rsidRDefault="00C4691E">
      <w:pPr>
        <w:spacing w:after="1" w:line="360" w:lineRule="auto"/>
        <w:ind w:left="-5"/>
      </w:pPr>
      <w:r>
        <w:rPr>
          <w:sz w:val="18"/>
        </w:rPr>
        <w:lastRenderedPageBreak/>
        <w:t>As experienced experts we su</w:t>
      </w:r>
      <w:r>
        <w:rPr>
          <w:sz w:val="18"/>
        </w:rPr>
        <w:t>pport our customers and partners around the world with products, solutions and services in the industrial environment of power, signal and data. We are at home in their industries and markets and know the technological challenges of tomorrow.  We are there</w:t>
      </w:r>
      <w:r>
        <w:rPr>
          <w:sz w:val="18"/>
        </w:rPr>
        <w:t xml:space="preserve">fore continuously developing innovative, sustainable and useful solutions for their individual needs.  Together we set standards in Industrial Connectivity. </w:t>
      </w:r>
    </w:p>
    <w:p w:rsidR="000909FB" w:rsidRDefault="00C4691E">
      <w:pPr>
        <w:spacing w:after="1" w:line="360" w:lineRule="auto"/>
        <w:ind w:left="-5"/>
      </w:pPr>
      <w:r>
        <w:rPr>
          <w:sz w:val="18"/>
        </w:rPr>
        <w:t>The Weidmüller Group owns manufacturing plants, sales companies and representatives in more than 8</w:t>
      </w:r>
      <w:r>
        <w:rPr>
          <w:sz w:val="18"/>
        </w:rPr>
        <w:t xml:space="preserve">0 countries.  </w:t>
      </w:r>
    </w:p>
    <w:p w:rsidR="000909FB" w:rsidRDefault="00C4691E">
      <w:pPr>
        <w:spacing w:after="1" w:line="360" w:lineRule="auto"/>
        <w:ind w:left="-5"/>
      </w:pPr>
      <w:r>
        <w:rPr>
          <w:sz w:val="18"/>
        </w:rPr>
        <w:t xml:space="preserve">In its fiscal year 2018 Weidmüller achieved sales of EUR 823 million with around 4,900 employees. </w:t>
      </w:r>
    </w:p>
    <w:p w:rsidR="000909FB" w:rsidRDefault="00C4691E">
      <w:pPr>
        <w:spacing w:after="106" w:line="259" w:lineRule="auto"/>
        <w:ind w:left="0" w:firstLine="0"/>
        <w:jc w:val="left"/>
      </w:pPr>
      <w:r>
        <w:rPr>
          <w:sz w:val="18"/>
        </w:rPr>
        <w:t xml:space="preserve"> </w:t>
      </w:r>
    </w:p>
    <w:p w:rsidR="000909FB" w:rsidRDefault="00C4691E">
      <w:pPr>
        <w:tabs>
          <w:tab w:val="center" w:pos="1771"/>
        </w:tabs>
        <w:spacing w:after="103" w:line="259" w:lineRule="auto"/>
        <w:ind w:left="-15" w:firstLine="0"/>
        <w:jc w:val="left"/>
      </w:pPr>
      <w:r>
        <w:rPr>
          <w:sz w:val="20"/>
        </w:rPr>
        <w:t xml:space="preserve">Contact:  </w:t>
      </w:r>
      <w:r>
        <w:rPr>
          <w:sz w:val="20"/>
        </w:rPr>
        <w:tab/>
        <w:t xml:space="preserve">Carsten Nagel </w:t>
      </w:r>
    </w:p>
    <w:p w:rsidR="000909FB" w:rsidRDefault="00C4691E">
      <w:pPr>
        <w:tabs>
          <w:tab w:val="center" w:pos="2348"/>
        </w:tabs>
        <w:spacing w:after="103" w:line="259" w:lineRule="auto"/>
        <w:ind w:left="-15" w:firstLine="0"/>
        <w:jc w:val="left"/>
      </w:pPr>
      <w:r>
        <w:rPr>
          <w:sz w:val="20"/>
        </w:rPr>
        <w:t xml:space="preserve"> </w:t>
      </w:r>
      <w:r>
        <w:rPr>
          <w:sz w:val="20"/>
        </w:rPr>
        <w:tab/>
        <w:t xml:space="preserve">Corporate Communications </w:t>
      </w:r>
    </w:p>
    <w:p w:rsidR="000909FB" w:rsidRDefault="00C4691E">
      <w:pPr>
        <w:tabs>
          <w:tab w:val="center" w:pos="2402"/>
        </w:tabs>
        <w:spacing w:after="103" w:line="259" w:lineRule="auto"/>
        <w:ind w:left="-15" w:firstLine="0"/>
        <w:jc w:val="left"/>
      </w:pPr>
      <w:r>
        <w:rPr>
          <w:sz w:val="20"/>
        </w:rPr>
        <w:t xml:space="preserve"> </w:t>
      </w:r>
      <w:r>
        <w:rPr>
          <w:sz w:val="20"/>
        </w:rPr>
        <w:tab/>
        <w:t xml:space="preserve">Tel.: +49 (0)5231 14-291010 </w:t>
      </w:r>
    </w:p>
    <w:p w:rsidR="000909FB" w:rsidRDefault="00C4691E">
      <w:pPr>
        <w:tabs>
          <w:tab w:val="center" w:pos="2921"/>
        </w:tabs>
        <w:spacing w:after="103" w:line="259" w:lineRule="auto"/>
        <w:ind w:left="-15" w:firstLine="0"/>
        <w:jc w:val="left"/>
      </w:pPr>
      <w:r>
        <w:rPr>
          <w:sz w:val="20"/>
        </w:rPr>
        <w:t xml:space="preserve"> </w:t>
      </w:r>
      <w:r>
        <w:rPr>
          <w:sz w:val="20"/>
        </w:rPr>
        <w:tab/>
        <w:t xml:space="preserve">E-mail: carsten.nagel@weidmueller.com </w:t>
      </w:r>
    </w:p>
    <w:sectPr w:rsidR="000909FB">
      <w:headerReference w:type="even" r:id="rId7"/>
      <w:headerReference w:type="default" r:id="rId8"/>
      <w:footerReference w:type="even" r:id="rId9"/>
      <w:footerReference w:type="default" r:id="rId10"/>
      <w:headerReference w:type="first" r:id="rId11"/>
      <w:footerReference w:type="first" r:id="rId12"/>
      <w:pgSz w:w="11906" w:h="16838"/>
      <w:pgMar w:top="2557" w:right="2806" w:bottom="1501" w:left="1419" w:header="607" w:footer="7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691E" w:rsidRDefault="00C4691E">
      <w:pPr>
        <w:spacing w:after="0" w:line="240" w:lineRule="auto"/>
      </w:pPr>
      <w:r>
        <w:separator/>
      </w:r>
    </w:p>
  </w:endnote>
  <w:endnote w:type="continuationSeparator" w:id="0">
    <w:p w:rsidR="00C4691E" w:rsidRDefault="00C469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09FB" w:rsidRDefault="00C4691E">
    <w:pPr>
      <w:spacing w:after="0" w:line="259" w:lineRule="auto"/>
      <w:ind w:left="0" w:right="26" w:firstLine="0"/>
      <w:jc w:val="center"/>
    </w:pPr>
    <w:r>
      <w:rPr>
        <w:sz w:val="16"/>
      </w:rPr>
      <w:fldChar w:fldCharType="begin"/>
    </w:r>
    <w:r>
      <w:rPr>
        <w:sz w:val="16"/>
      </w:rPr>
      <w:instrText xml:space="preserve"> PAGE   \* MERGEFORMAT </w:instrText>
    </w:r>
    <w:r>
      <w:rPr>
        <w:sz w:val="16"/>
      </w:rPr>
      <w:fldChar w:fldCharType="separate"/>
    </w:r>
    <w:r>
      <w:rPr>
        <w:sz w:val="16"/>
      </w:rPr>
      <w:t>1</w:t>
    </w:r>
    <w:r>
      <w:rPr>
        <w:sz w:val="16"/>
      </w:rP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09FB" w:rsidRDefault="00C4691E">
    <w:pPr>
      <w:spacing w:after="0" w:line="259" w:lineRule="auto"/>
      <w:ind w:left="0" w:right="26" w:firstLine="0"/>
      <w:jc w:val="center"/>
    </w:pPr>
    <w:r>
      <w:rPr>
        <w:sz w:val="16"/>
      </w:rPr>
      <w:fldChar w:fldCharType="begin"/>
    </w:r>
    <w:r>
      <w:rPr>
        <w:sz w:val="16"/>
      </w:rPr>
      <w:instrText xml:space="preserve"> PAGE   \* MERGEFORMAT </w:instrText>
    </w:r>
    <w:r>
      <w:rPr>
        <w:sz w:val="16"/>
      </w:rPr>
      <w:fldChar w:fldCharType="separate"/>
    </w:r>
    <w:r>
      <w:rPr>
        <w:sz w:val="16"/>
      </w:rPr>
      <w:t>1</w:t>
    </w:r>
    <w:r>
      <w:rPr>
        <w:sz w:val="16"/>
      </w:rP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09FB" w:rsidRDefault="00C4691E">
    <w:pPr>
      <w:spacing w:after="0" w:line="259" w:lineRule="auto"/>
      <w:ind w:left="0" w:right="26" w:firstLine="0"/>
      <w:jc w:val="center"/>
    </w:pPr>
    <w:r>
      <w:rPr>
        <w:sz w:val="16"/>
      </w:rPr>
      <w:fldChar w:fldCharType="begin"/>
    </w:r>
    <w:r>
      <w:rPr>
        <w:sz w:val="16"/>
      </w:rPr>
      <w:instrText xml:space="preserve"> PAGE   \* MERGEFORMAT </w:instrText>
    </w:r>
    <w:r>
      <w:rPr>
        <w:sz w:val="16"/>
      </w:rPr>
      <w:fldChar w:fldCharType="separate"/>
    </w:r>
    <w:r>
      <w:rPr>
        <w:sz w:val="16"/>
      </w:rPr>
      <w:t>1</w:t>
    </w:r>
    <w:r>
      <w:rPr>
        <w:sz w:val="16"/>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691E" w:rsidRDefault="00C4691E">
      <w:pPr>
        <w:spacing w:after="0" w:line="240" w:lineRule="auto"/>
      </w:pPr>
      <w:r>
        <w:separator/>
      </w:r>
    </w:p>
  </w:footnote>
  <w:footnote w:type="continuationSeparator" w:id="0">
    <w:p w:rsidR="00C4691E" w:rsidRDefault="00C469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09FB" w:rsidRDefault="00C4691E">
    <w:pPr>
      <w:tabs>
        <w:tab w:val="center" w:pos="4537"/>
      </w:tabs>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simplePos x="0" y="0"/>
              <wp:positionH relativeFrom="page">
                <wp:posOffset>4209923</wp:posOffset>
              </wp:positionH>
              <wp:positionV relativeFrom="page">
                <wp:posOffset>385445</wp:posOffset>
              </wp:positionV>
              <wp:extent cx="1676527" cy="333375"/>
              <wp:effectExtent l="0" t="0" r="0" b="0"/>
              <wp:wrapSquare wrapText="bothSides"/>
              <wp:docPr id="1913" name="Group 1913"/>
              <wp:cNvGraphicFramePr/>
              <a:graphic xmlns:a="http://schemas.openxmlformats.org/drawingml/2006/main">
                <a:graphicData uri="http://schemas.microsoft.com/office/word/2010/wordprocessingGroup">
                  <wpg:wgp>
                    <wpg:cNvGrpSpPr/>
                    <wpg:grpSpPr>
                      <a:xfrm>
                        <a:off x="0" y="0"/>
                        <a:ext cx="1676527" cy="333375"/>
                        <a:chOff x="0" y="0"/>
                        <a:chExt cx="1676527" cy="333375"/>
                      </a:xfrm>
                    </wpg:grpSpPr>
                    <wps:wsp>
                      <wps:cNvPr id="1915" name="Rectangle 1915"/>
                      <wps:cNvSpPr/>
                      <wps:spPr>
                        <a:xfrm>
                          <a:off x="0" y="135367"/>
                          <a:ext cx="51809" cy="207922"/>
                        </a:xfrm>
                        <a:prstGeom prst="rect">
                          <a:avLst/>
                        </a:prstGeom>
                        <a:ln>
                          <a:noFill/>
                        </a:ln>
                      </wps:spPr>
                      <wps:txbx>
                        <w:txbxContent>
                          <w:p w:rsidR="000909FB" w:rsidRDefault="00C4691E">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1914" name="Picture 1914"/>
                        <pic:cNvPicPr/>
                      </pic:nvPicPr>
                      <pic:blipFill>
                        <a:blip r:embed="rId1"/>
                        <a:stretch>
                          <a:fillRect/>
                        </a:stretch>
                      </pic:blipFill>
                      <pic:spPr>
                        <a:xfrm>
                          <a:off x="19177" y="0"/>
                          <a:ext cx="1657350" cy="333375"/>
                        </a:xfrm>
                        <a:prstGeom prst="rect">
                          <a:avLst/>
                        </a:prstGeom>
                      </pic:spPr>
                    </pic:pic>
                  </wpg:wgp>
                </a:graphicData>
              </a:graphic>
            </wp:anchor>
          </w:drawing>
        </mc:Choice>
        <mc:Fallback xmlns:a="http://schemas.openxmlformats.org/drawingml/2006/main">
          <w:pict>
            <v:group id="Group 1913" style="width:132.01pt;height:26.25pt;position:absolute;mso-position-horizontal-relative:page;mso-position-horizontal:absolute;margin-left:331.49pt;mso-position-vertical-relative:page;margin-top:30.35pt;" coordsize="16765,3333">
              <v:rect id="Rectangle 1915" style="position:absolute;width:518;height:2079;left:0;top:1353;" filled="f" stroked="f">
                <v:textbox inset="0,0,0,0">
                  <w:txbxContent>
                    <w:p>
                      <w:pPr>
                        <w:spacing w:before="0" w:after="160" w:line="259" w:lineRule="auto"/>
                        <w:ind w:left="0" w:firstLine="0"/>
                        <w:jc w:val="left"/>
                      </w:pPr>
                      <w:r>
                        <w:rPr/>
                        <w:t xml:space="preserve"> </w:t>
                      </w:r>
                    </w:p>
                  </w:txbxContent>
                </v:textbox>
              </v:rect>
              <v:shape id="Picture 1914" style="position:absolute;width:16573;height:3333;left:191;top:0;" filled="f">
                <v:imagedata r:id="rId8"/>
              </v:shape>
              <w10:wrap type="square"/>
            </v:group>
          </w:pict>
        </mc:Fallback>
      </mc:AlternateContent>
    </w:r>
    <w:r>
      <w:rPr>
        <w:sz w:val="32"/>
      </w:rPr>
      <w:t>Press release</w:t>
    </w:r>
    <w:r>
      <w:rPr>
        <w:b/>
        <w:sz w:val="32"/>
      </w:rPr>
      <w:t xml:space="preserve"> </w:t>
    </w:r>
    <w:r>
      <w:rPr>
        <w:b/>
        <w:sz w:val="32"/>
      </w:rPr>
      <w:tab/>
      <w:t xml:space="preserve"> </w:t>
    </w:r>
    <w:r>
      <w:rPr>
        <w:b/>
        <w:sz w:val="3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09FB" w:rsidRDefault="00C4691E">
    <w:pPr>
      <w:tabs>
        <w:tab w:val="center" w:pos="4537"/>
      </w:tabs>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59264" behindDoc="0" locked="0" layoutInCell="1" allowOverlap="1">
              <wp:simplePos x="0" y="0"/>
              <wp:positionH relativeFrom="page">
                <wp:posOffset>4209923</wp:posOffset>
              </wp:positionH>
              <wp:positionV relativeFrom="page">
                <wp:posOffset>385445</wp:posOffset>
              </wp:positionV>
              <wp:extent cx="1676527" cy="333375"/>
              <wp:effectExtent l="0" t="0" r="0" b="0"/>
              <wp:wrapSquare wrapText="bothSides"/>
              <wp:docPr id="1893" name="Group 1893"/>
              <wp:cNvGraphicFramePr/>
              <a:graphic xmlns:a="http://schemas.openxmlformats.org/drawingml/2006/main">
                <a:graphicData uri="http://schemas.microsoft.com/office/word/2010/wordprocessingGroup">
                  <wpg:wgp>
                    <wpg:cNvGrpSpPr/>
                    <wpg:grpSpPr>
                      <a:xfrm>
                        <a:off x="0" y="0"/>
                        <a:ext cx="1676527" cy="333375"/>
                        <a:chOff x="0" y="0"/>
                        <a:chExt cx="1676527" cy="333375"/>
                      </a:xfrm>
                    </wpg:grpSpPr>
                    <wps:wsp>
                      <wps:cNvPr id="1895" name="Rectangle 1895"/>
                      <wps:cNvSpPr/>
                      <wps:spPr>
                        <a:xfrm>
                          <a:off x="0" y="135367"/>
                          <a:ext cx="51809" cy="207922"/>
                        </a:xfrm>
                        <a:prstGeom prst="rect">
                          <a:avLst/>
                        </a:prstGeom>
                        <a:ln>
                          <a:noFill/>
                        </a:ln>
                      </wps:spPr>
                      <wps:txbx>
                        <w:txbxContent>
                          <w:p w:rsidR="000909FB" w:rsidRDefault="00C4691E">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1894" name="Picture 1894"/>
                        <pic:cNvPicPr/>
                      </pic:nvPicPr>
                      <pic:blipFill>
                        <a:blip r:embed="rId1"/>
                        <a:stretch>
                          <a:fillRect/>
                        </a:stretch>
                      </pic:blipFill>
                      <pic:spPr>
                        <a:xfrm>
                          <a:off x="19177" y="0"/>
                          <a:ext cx="1657350" cy="333375"/>
                        </a:xfrm>
                        <a:prstGeom prst="rect">
                          <a:avLst/>
                        </a:prstGeom>
                      </pic:spPr>
                    </pic:pic>
                  </wpg:wgp>
                </a:graphicData>
              </a:graphic>
            </wp:anchor>
          </w:drawing>
        </mc:Choice>
        <mc:Fallback xmlns:a="http://schemas.openxmlformats.org/drawingml/2006/main">
          <w:pict>
            <v:group id="Group 1893" style="width:132.01pt;height:26.25pt;position:absolute;mso-position-horizontal-relative:page;mso-position-horizontal:absolute;margin-left:331.49pt;mso-position-vertical-relative:page;margin-top:30.35pt;" coordsize="16765,3333">
              <v:rect id="Rectangle 1895" style="position:absolute;width:518;height:2079;left:0;top:1353;" filled="f" stroked="f">
                <v:textbox inset="0,0,0,0">
                  <w:txbxContent>
                    <w:p>
                      <w:pPr>
                        <w:spacing w:before="0" w:after="160" w:line="259" w:lineRule="auto"/>
                        <w:ind w:left="0" w:firstLine="0"/>
                        <w:jc w:val="left"/>
                      </w:pPr>
                      <w:r>
                        <w:rPr/>
                        <w:t xml:space="preserve"> </w:t>
                      </w:r>
                    </w:p>
                  </w:txbxContent>
                </v:textbox>
              </v:rect>
              <v:shape id="Picture 1894" style="position:absolute;width:16573;height:3333;left:191;top:0;" filled="f">
                <v:imagedata r:id="rId8"/>
              </v:shape>
              <w10:wrap type="square"/>
            </v:group>
          </w:pict>
        </mc:Fallback>
      </mc:AlternateContent>
    </w:r>
    <w:r>
      <w:rPr>
        <w:sz w:val="32"/>
      </w:rPr>
      <w:t>Press release</w:t>
    </w:r>
    <w:r>
      <w:rPr>
        <w:b/>
        <w:sz w:val="32"/>
      </w:rPr>
      <w:t xml:space="preserve"> </w:t>
    </w:r>
    <w:r>
      <w:rPr>
        <w:b/>
        <w:sz w:val="32"/>
      </w:rPr>
      <w:tab/>
      <w:t xml:space="preserve"> </w:t>
    </w:r>
    <w:r>
      <w:rPr>
        <w:b/>
        <w:sz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09FB" w:rsidRDefault="00C4691E">
    <w:pPr>
      <w:tabs>
        <w:tab w:val="center" w:pos="4537"/>
      </w:tabs>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simplePos x="0" y="0"/>
              <wp:positionH relativeFrom="page">
                <wp:posOffset>4209923</wp:posOffset>
              </wp:positionH>
              <wp:positionV relativeFrom="page">
                <wp:posOffset>385445</wp:posOffset>
              </wp:positionV>
              <wp:extent cx="1676527" cy="333375"/>
              <wp:effectExtent l="0" t="0" r="0" b="0"/>
              <wp:wrapSquare wrapText="bothSides"/>
              <wp:docPr id="1873" name="Group 1873"/>
              <wp:cNvGraphicFramePr/>
              <a:graphic xmlns:a="http://schemas.openxmlformats.org/drawingml/2006/main">
                <a:graphicData uri="http://schemas.microsoft.com/office/word/2010/wordprocessingGroup">
                  <wpg:wgp>
                    <wpg:cNvGrpSpPr/>
                    <wpg:grpSpPr>
                      <a:xfrm>
                        <a:off x="0" y="0"/>
                        <a:ext cx="1676527" cy="333375"/>
                        <a:chOff x="0" y="0"/>
                        <a:chExt cx="1676527" cy="333375"/>
                      </a:xfrm>
                    </wpg:grpSpPr>
                    <wps:wsp>
                      <wps:cNvPr id="1875" name="Rectangle 1875"/>
                      <wps:cNvSpPr/>
                      <wps:spPr>
                        <a:xfrm>
                          <a:off x="0" y="135367"/>
                          <a:ext cx="51809" cy="207922"/>
                        </a:xfrm>
                        <a:prstGeom prst="rect">
                          <a:avLst/>
                        </a:prstGeom>
                        <a:ln>
                          <a:noFill/>
                        </a:ln>
                      </wps:spPr>
                      <wps:txbx>
                        <w:txbxContent>
                          <w:p w:rsidR="000909FB" w:rsidRDefault="00C4691E">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1874" name="Picture 1874"/>
                        <pic:cNvPicPr/>
                      </pic:nvPicPr>
                      <pic:blipFill>
                        <a:blip r:embed="rId1"/>
                        <a:stretch>
                          <a:fillRect/>
                        </a:stretch>
                      </pic:blipFill>
                      <pic:spPr>
                        <a:xfrm>
                          <a:off x="19177" y="0"/>
                          <a:ext cx="1657350" cy="333375"/>
                        </a:xfrm>
                        <a:prstGeom prst="rect">
                          <a:avLst/>
                        </a:prstGeom>
                      </pic:spPr>
                    </pic:pic>
                  </wpg:wgp>
                </a:graphicData>
              </a:graphic>
            </wp:anchor>
          </w:drawing>
        </mc:Choice>
        <mc:Fallback xmlns:a="http://schemas.openxmlformats.org/drawingml/2006/main">
          <w:pict>
            <v:group id="Group 1873" style="width:132.01pt;height:26.25pt;position:absolute;mso-position-horizontal-relative:page;mso-position-horizontal:absolute;margin-left:331.49pt;mso-position-vertical-relative:page;margin-top:30.35pt;" coordsize="16765,3333">
              <v:rect id="Rectangle 1875" style="position:absolute;width:518;height:2079;left:0;top:1353;" filled="f" stroked="f">
                <v:textbox inset="0,0,0,0">
                  <w:txbxContent>
                    <w:p>
                      <w:pPr>
                        <w:spacing w:before="0" w:after="160" w:line="259" w:lineRule="auto"/>
                        <w:ind w:left="0" w:firstLine="0"/>
                        <w:jc w:val="left"/>
                      </w:pPr>
                      <w:r>
                        <w:rPr/>
                        <w:t xml:space="preserve"> </w:t>
                      </w:r>
                    </w:p>
                  </w:txbxContent>
                </v:textbox>
              </v:rect>
              <v:shape id="Picture 1874" style="position:absolute;width:16573;height:3333;left:191;top:0;" filled="f">
                <v:imagedata r:id="rId8"/>
              </v:shape>
              <w10:wrap type="square"/>
            </v:group>
          </w:pict>
        </mc:Fallback>
      </mc:AlternateContent>
    </w:r>
    <w:r>
      <w:rPr>
        <w:sz w:val="32"/>
      </w:rPr>
      <w:t>Press release</w:t>
    </w:r>
    <w:r>
      <w:rPr>
        <w:b/>
        <w:sz w:val="32"/>
      </w:rPr>
      <w:t xml:space="preserve"> </w:t>
    </w:r>
    <w:r>
      <w:rPr>
        <w:b/>
        <w:sz w:val="32"/>
      </w:rPr>
      <w:tab/>
      <w:t xml:space="preserve"> </w:t>
    </w:r>
    <w:r>
      <w:rPr>
        <w:b/>
        <w:sz w:val="32"/>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9FB"/>
    <w:rsid w:val="000909FB"/>
    <w:rsid w:val="009B1CC4"/>
    <w:rsid w:val="00C4691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A740F9-F029-4559-B9A4-12B7648EC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after="2" w:line="362" w:lineRule="auto"/>
      <w:ind w:left="10" w:hanging="10"/>
      <w:jc w:val="both"/>
    </w:pPr>
    <w:rPr>
      <w:rFonts w:ascii="Arial" w:eastAsia="Arial" w:hAnsi="Arial" w:cs="Arial"/>
      <w:color w:val="000000"/>
    </w:rPr>
  </w:style>
  <w:style w:type="paragraph" w:styleId="berschrift1">
    <w:name w:val="heading 1"/>
    <w:next w:val="Standard"/>
    <w:link w:val="berschrift1Zchn"/>
    <w:uiPriority w:val="9"/>
    <w:qFormat/>
    <w:pPr>
      <w:keepNext/>
      <w:keepLines/>
      <w:spacing w:after="105"/>
      <w:ind w:left="10" w:hanging="10"/>
      <w:outlineLvl w:val="0"/>
    </w:pPr>
    <w:rPr>
      <w:rFonts w:ascii="Arial" w:eastAsia="Arial" w:hAnsi="Arial" w:cs="Arial"/>
      <w:b/>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Pr>
      <w:rFonts w:ascii="Arial" w:eastAsia="Arial" w:hAnsi="Arial" w:cs="Arial"/>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0.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8" Type="http://schemas.openxmlformats.org/officeDocument/2006/relationships/image" Target="media/image0.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8" Type="http://schemas.openxmlformats.org/officeDocument/2006/relationships/image" Target="media/image0.pn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554</Words>
  <Characters>3495</Characters>
  <Application>Microsoft Office Word</Application>
  <DocSecurity>0</DocSecurity>
  <Lines>29</Lines>
  <Paragraphs>8</Paragraphs>
  <ScaleCrop>false</ScaleCrop>
  <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Pressemitteilung deutsch</dc:title>
  <dc:subject/>
  <dc:creator>Ingmar Remus</dc:creator>
  <cp:keywords/>
  <cp:lastModifiedBy>Schulz, Oliver-Ruben</cp:lastModifiedBy>
  <cp:revision>2</cp:revision>
  <dcterms:created xsi:type="dcterms:W3CDTF">2020-07-15T09:28:00Z</dcterms:created>
  <dcterms:modified xsi:type="dcterms:W3CDTF">2020-07-15T09:28:00Z</dcterms:modified>
</cp:coreProperties>
</file>