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79D03" w14:textId="77777777" w:rsidR="00ED2B80" w:rsidRDefault="00ED2B80" w:rsidP="00384218">
      <w:pPr>
        <w:spacing w:line="360" w:lineRule="auto"/>
        <w:rPr>
          <w:b/>
          <w:color w:val="000000" w:themeColor="text1"/>
        </w:rPr>
      </w:pPr>
      <w:r w:rsidRPr="00ED2B80">
        <w:rPr>
          <w:b/>
          <w:color w:val="000000" w:themeColor="text1"/>
        </w:rPr>
        <w:t>Efficient Retrofitting: String Monitoring for Utility Scale PV Systems</w:t>
      </w:r>
    </w:p>
    <w:p w14:paraId="4F3408CE" w14:textId="097D4324" w:rsidR="00B03B9F" w:rsidRDefault="00896804" w:rsidP="00384218">
      <w:pPr>
        <w:spacing w:line="360" w:lineRule="auto"/>
        <w:rPr>
          <w:color w:val="000000" w:themeColor="text1"/>
        </w:rPr>
      </w:pPr>
      <w:r w:rsidRPr="00896804">
        <w:rPr>
          <w:color w:val="000000" w:themeColor="text1"/>
        </w:rPr>
        <w:t>PV Retrofit Combiner Boxes with String Monitoring from Weidmüller Ensure Better Measurability and Higher Performance Ratio</w:t>
      </w:r>
    </w:p>
    <w:p w14:paraId="07F40077" w14:textId="77777777" w:rsidR="00896804" w:rsidRPr="004C074C" w:rsidRDefault="00896804" w:rsidP="00384218">
      <w:pPr>
        <w:spacing w:line="360" w:lineRule="auto"/>
        <w:rPr>
          <w:rFonts w:cs="Arial"/>
          <w:b/>
          <w:bCs/>
          <w:color w:val="000000" w:themeColor="text1"/>
          <w:lang w:val="en-US"/>
        </w:rPr>
      </w:pPr>
    </w:p>
    <w:p w14:paraId="5BDD3C1B" w14:textId="45C1F129" w:rsidR="006F44B9" w:rsidRPr="004C074C" w:rsidRDefault="00896804" w:rsidP="00384218">
      <w:pPr>
        <w:spacing w:line="360" w:lineRule="auto"/>
        <w:rPr>
          <w:rFonts w:eastAsia="Arial" w:cs="Arial"/>
          <w:i/>
          <w:color w:val="000000" w:themeColor="text1"/>
          <w:szCs w:val="22"/>
          <w:lang w:val="en-US"/>
        </w:rPr>
      </w:pPr>
      <w:r w:rsidRPr="00896804">
        <w:rPr>
          <w:i/>
          <w:color w:val="000000" w:themeColor="text1"/>
        </w:rPr>
        <w:t xml:space="preserve">Photovoltaic systems are assets that unleash their full potential when they are aligned for optimal performance. To achieve this, the productivity and efficiency of the systems must be monitored, along with seamless integration into the network, ensuring constant feed-in capacity and maximizing their economic success and profitability.  </w:t>
      </w:r>
    </w:p>
    <w:p w14:paraId="60ACE196" w14:textId="77777777" w:rsidR="00B70AD4" w:rsidRPr="004C074C" w:rsidRDefault="00B70AD4" w:rsidP="00384218">
      <w:pPr>
        <w:spacing w:line="360" w:lineRule="auto"/>
        <w:rPr>
          <w:rFonts w:eastAsia="Arial" w:cs="Arial"/>
          <w:i/>
          <w:color w:val="000000" w:themeColor="text1"/>
          <w:szCs w:val="22"/>
          <w:lang w:val="en-US"/>
        </w:rPr>
      </w:pPr>
    </w:p>
    <w:p w14:paraId="6295554A" w14:textId="77777777" w:rsidR="00896804" w:rsidRDefault="00896804" w:rsidP="507E20E4">
      <w:pPr>
        <w:spacing w:line="360" w:lineRule="auto"/>
        <w:rPr>
          <w:b/>
          <w:color w:val="000000" w:themeColor="text1"/>
        </w:rPr>
      </w:pPr>
      <w:r w:rsidRPr="00896804">
        <w:rPr>
          <w:b/>
          <w:color w:val="000000" w:themeColor="text1"/>
        </w:rPr>
        <w:t>Zone Monitoring Leads to Misconceptions</w:t>
      </w:r>
    </w:p>
    <w:p w14:paraId="071C42E3" w14:textId="77777777" w:rsidR="005671D5" w:rsidRPr="005671D5" w:rsidRDefault="005671D5" w:rsidP="005671D5">
      <w:pPr>
        <w:spacing w:line="360" w:lineRule="auto"/>
        <w:rPr>
          <w:color w:val="000000" w:themeColor="text1"/>
        </w:rPr>
      </w:pPr>
      <w:r w:rsidRPr="005671D5">
        <w:rPr>
          <w:color w:val="000000" w:themeColor="text1"/>
        </w:rPr>
        <w:t xml:space="preserve">In past years and decades, numerous design and construction approaches were implemented where string monitoring was not considered mandatory. A simple zone monitoring, which only encompassed monitoring at the input of the central inverter, was deemed sufficient to evaluate the performance of the systems. </w:t>
      </w:r>
    </w:p>
    <w:p w14:paraId="623EAA99" w14:textId="77777777" w:rsidR="005671D5" w:rsidRPr="005671D5" w:rsidRDefault="005671D5" w:rsidP="005671D5">
      <w:pPr>
        <w:spacing w:line="360" w:lineRule="auto"/>
        <w:rPr>
          <w:color w:val="000000" w:themeColor="text1"/>
        </w:rPr>
      </w:pPr>
    </w:p>
    <w:p w14:paraId="49349935" w14:textId="192388E6" w:rsidR="00B70AD4" w:rsidRPr="005671D5" w:rsidRDefault="005671D5" w:rsidP="005671D5">
      <w:pPr>
        <w:spacing w:line="360" w:lineRule="auto"/>
        <w:rPr>
          <w:rFonts w:eastAsia="Arial" w:cs="Arial"/>
          <w:iCs/>
          <w:color w:val="000000" w:themeColor="text1"/>
          <w:szCs w:val="22"/>
        </w:rPr>
      </w:pPr>
      <w:r w:rsidRPr="005671D5">
        <w:rPr>
          <w:color w:val="000000" w:themeColor="text1"/>
        </w:rPr>
        <w:t>However, it is now clear that sole reliance on zone monitoring is no longer adequate. Relying exclusively on data from zone monitoring led to many operators and maintenance companies overlooking failures, issues, and insufficient energy generation, resulting in numerous systems operating below efficiency.</w:t>
      </w:r>
    </w:p>
    <w:p w14:paraId="7EEFE7C0" w14:textId="77777777" w:rsidR="00B70AD4" w:rsidRPr="005671D5" w:rsidRDefault="00B70AD4" w:rsidP="00384218">
      <w:pPr>
        <w:spacing w:line="360" w:lineRule="auto"/>
        <w:rPr>
          <w:b/>
          <w:color w:val="000000" w:themeColor="text1"/>
        </w:rPr>
      </w:pPr>
    </w:p>
    <w:p w14:paraId="736E51B6" w14:textId="3145D72B" w:rsidR="001746B5" w:rsidRDefault="005671D5" w:rsidP="00384218">
      <w:pPr>
        <w:spacing w:line="360" w:lineRule="auto"/>
        <w:rPr>
          <w:b/>
          <w:color w:val="000000" w:themeColor="text1"/>
        </w:rPr>
      </w:pPr>
      <w:r w:rsidRPr="005671D5">
        <w:rPr>
          <w:b/>
          <w:color w:val="000000" w:themeColor="text1"/>
        </w:rPr>
        <w:t>Maximizing Photovoltaic Efficiency through (Retrofit) String Monitoring</w:t>
      </w:r>
    </w:p>
    <w:p w14:paraId="0FCE0F21" w14:textId="77777777" w:rsidR="00846767" w:rsidRPr="00846767" w:rsidRDefault="00846767" w:rsidP="00846767">
      <w:pPr>
        <w:spacing w:line="360" w:lineRule="auto"/>
        <w:rPr>
          <w:color w:val="000000" w:themeColor="text1"/>
        </w:rPr>
      </w:pPr>
      <w:r w:rsidRPr="00846767">
        <w:rPr>
          <w:color w:val="000000" w:themeColor="text1"/>
        </w:rPr>
        <w:t xml:space="preserve">A growing trend indicates that operators, asset owners and maintenance companies of photovoltaic systems are having the actual performance of their systems evaluated by technical consulting firms. Especially for existing PV combiner boxes lacking string monitoring, the primary recommendation from these consultants is to implement or retrofit string monitoring, as it significantly increases the Performance Ratio (PR). In these cases, we refer to retrofit string monitoring solutions. </w:t>
      </w:r>
    </w:p>
    <w:p w14:paraId="6F272CB1" w14:textId="77777777" w:rsidR="00846767" w:rsidRPr="00846767" w:rsidRDefault="00846767" w:rsidP="00846767">
      <w:pPr>
        <w:spacing w:line="360" w:lineRule="auto"/>
        <w:rPr>
          <w:color w:val="000000" w:themeColor="text1"/>
        </w:rPr>
      </w:pPr>
    </w:p>
    <w:p w14:paraId="4CEA7BFC" w14:textId="77777777" w:rsidR="00846767" w:rsidRPr="00846767" w:rsidRDefault="00846767" w:rsidP="00846767">
      <w:pPr>
        <w:spacing w:line="360" w:lineRule="auto"/>
        <w:rPr>
          <w:color w:val="000000" w:themeColor="text1"/>
        </w:rPr>
      </w:pPr>
      <w:r w:rsidRPr="00846767">
        <w:rPr>
          <w:color w:val="000000" w:themeColor="text1"/>
        </w:rPr>
        <w:t xml:space="preserve">Weidmüller responds to these demands with various tailored solutions for retrofitting photovoltaic systems with string monitoring. Firstly, with the </w:t>
      </w:r>
      <w:r w:rsidRPr="00846767">
        <w:rPr>
          <w:color w:val="000000" w:themeColor="text1"/>
        </w:rPr>
        <w:lastRenderedPageBreak/>
        <w:t xml:space="preserve">standalone component </w:t>
      </w:r>
      <w:r w:rsidRPr="00B43423">
        <w:rPr>
          <w:b/>
          <w:bCs/>
          <w:color w:val="000000" w:themeColor="text1"/>
        </w:rPr>
        <w:t>PV String Monitoring System</w:t>
      </w:r>
      <w:r w:rsidRPr="00846767">
        <w:rPr>
          <w:color w:val="000000" w:themeColor="text1"/>
        </w:rPr>
        <w:t xml:space="preserve">, which allows users to choose between modules with 8 or 12 inputs, ranging from 25 ADC to 50 ADC. These modules can also be combined in existing </w:t>
      </w:r>
      <w:r w:rsidRPr="00B43423">
        <w:rPr>
          <w:b/>
          <w:bCs/>
          <w:color w:val="000000" w:themeColor="text1"/>
        </w:rPr>
        <w:t>PV DC Combiner Boxes</w:t>
      </w:r>
      <w:r w:rsidRPr="00846767">
        <w:rPr>
          <w:color w:val="000000" w:themeColor="text1"/>
        </w:rPr>
        <w:t xml:space="preserve">, allowing solutions with up to 32 inputs. The retrofit string monitoring communicates wirelessly via </w:t>
      </w:r>
      <w:proofErr w:type="spellStart"/>
      <w:r w:rsidRPr="00846767">
        <w:rPr>
          <w:color w:val="000000" w:themeColor="text1"/>
        </w:rPr>
        <w:t>LoRaWAN</w:t>
      </w:r>
      <w:proofErr w:type="spellEnd"/>
      <w:r w:rsidRPr="00846767">
        <w:rPr>
          <w:color w:val="000000" w:themeColor="text1"/>
        </w:rPr>
        <w:t xml:space="preserve">® protocol as a plug-and-play solution, simplifying installation and preventing additional costs or maintenance work on communication cables. Thanks to these features, the system enables the localization and isolation of any problem on-site within minutes. </w:t>
      </w:r>
    </w:p>
    <w:p w14:paraId="5AA34BC9" w14:textId="77777777" w:rsidR="00846767" w:rsidRPr="00846767" w:rsidRDefault="00846767" w:rsidP="00846767">
      <w:pPr>
        <w:spacing w:line="360" w:lineRule="auto"/>
        <w:rPr>
          <w:color w:val="000000" w:themeColor="text1"/>
        </w:rPr>
      </w:pPr>
    </w:p>
    <w:p w14:paraId="070608D1" w14:textId="459F44AC" w:rsidR="00846767" w:rsidRPr="00846767" w:rsidRDefault="00846767" w:rsidP="00846767">
      <w:pPr>
        <w:spacing w:line="360" w:lineRule="auto"/>
        <w:rPr>
          <w:color w:val="000000" w:themeColor="text1"/>
        </w:rPr>
      </w:pPr>
      <w:r w:rsidRPr="00846767">
        <w:rPr>
          <w:color w:val="000000" w:themeColor="text1"/>
        </w:rPr>
        <w:t xml:space="preserve">Secondly, there is the ready-to-use cabinet, the </w:t>
      </w:r>
      <w:r w:rsidRPr="00B43423">
        <w:rPr>
          <w:b/>
          <w:bCs/>
          <w:color w:val="000000" w:themeColor="text1"/>
        </w:rPr>
        <w:t>PV Retrofit Combiner Box</w:t>
      </w:r>
      <w:r w:rsidRPr="00846767">
        <w:rPr>
          <w:color w:val="000000" w:themeColor="text1"/>
        </w:rPr>
        <w:t>, which allows installers to choose between twelve different boxes with varying inputs (12-16-24) with communications wired (RS485) or wireless (</w:t>
      </w:r>
      <w:proofErr w:type="spellStart"/>
      <w:r w:rsidRPr="00846767">
        <w:rPr>
          <w:color w:val="000000" w:themeColor="text1"/>
        </w:rPr>
        <w:t>LoRaWAN</w:t>
      </w:r>
      <w:proofErr w:type="spellEnd"/>
      <w:r w:rsidRPr="00846767">
        <w:rPr>
          <w:color w:val="000000" w:themeColor="text1"/>
        </w:rPr>
        <w:t>) and connections (multi-via cable glands or PV connectors). Thanks to its optimized and reduced space requirement, this solution can be installed very quickly and close to existing PV DC combiner boxes.</w:t>
      </w:r>
    </w:p>
    <w:p w14:paraId="71F82009" w14:textId="77777777" w:rsidR="00846767" w:rsidRDefault="00846767" w:rsidP="00384218">
      <w:pPr>
        <w:spacing w:line="360" w:lineRule="auto"/>
        <w:rPr>
          <w:b/>
          <w:color w:val="000000" w:themeColor="text1"/>
        </w:rPr>
      </w:pPr>
    </w:p>
    <w:p w14:paraId="353AD286" w14:textId="77777777" w:rsidR="00B43423" w:rsidRPr="00B43423" w:rsidRDefault="00B43423" w:rsidP="00B43423">
      <w:pPr>
        <w:spacing w:line="360" w:lineRule="auto"/>
        <w:rPr>
          <w:b/>
          <w:color w:val="000000" w:themeColor="text1"/>
        </w:rPr>
      </w:pPr>
      <w:r w:rsidRPr="00B43423">
        <w:rPr>
          <w:b/>
          <w:color w:val="000000" w:themeColor="text1"/>
        </w:rPr>
        <w:t xml:space="preserve">Data Acquisition Even Without SCADA Solution </w:t>
      </w:r>
    </w:p>
    <w:p w14:paraId="3BD2C3F6" w14:textId="77777777" w:rsidR="00B43423" w:rsidRPr="00B43423" w:rsidRDefault="00B43423" w:rsidP="00B43423">
      <w:pPr>
        <w:spacing w:line="360" w:lineRule="auto"/>
        <w:rPr>
          <w:color w:val="000000" w:themeColor="text1"/>
        </w:rPr>
      </w:pPr>
      <w:proofErr w:type="spellStart"/>
      <w:r w:rsidRPr="00B43423">
        <w:rPr>
          <w:color w:val="000000" w:themeColor="text1"/>
        </w:rPr>
        <w:t>Weidmüller's</w:t>
      </w:r>
      <w:proofErr w:type="spellEnd"/>
      <w:r w:rsidRPr="00B43423">
        <w:rPr>
          <w:color w:val="000000" w:themeColor="text1"/>
        </w:rPr>
        <w:t xml:space="preserve"> string monitoring components can operate with two protocols: the standard Modbus/RTU protocol or Modbus/TCP. This flexibility allows users to easily integrate all data into their existing SCADA system. </w:t>
      </w:r>
    </w:p>
    <w:p w14:paraId="1FB47B7A" w14:textId="77777777" w:rsidR="00B43423" w:rsidRPr="00B43423" w:rsidRDefault="00B43423" w:rsidP="00B43423">
      <w:pPr>
        <w:spacing w:line="360" w:lineRule="auto"/>
        <w:rPr>
          <w:color w:val="000000" w:themeColor="text1"/>
        </w:rPr>
      </w:pPr>
    </w:p>
    <w:p w14:paraId="1B94ED5D" w14:textId="69F1B941" w:rsidR="00846767" w:rsidRPr="00B43423" w:rsidRDefault="00B43423" w:rsidP="00B43423">
      <w:pPr>
        <w:spacing w:line="360" w:lineRule="auto"/>
        <w:rPr>
          <w:color w:val="000000" w:themeColor="text1"/>
        </w:rPr>
      </w:pPr>
      <w:r w:rsidRPr="00B43423">
        <w:rPr>
          <w:color w:val="000000" w:themeColor="text1"/>
        </w:rPr>
        <w:t xml:space="preserve">However, with the </w:t>
      </w:r>
      <w:r w:rsidRPr="00B43423">
        <w:rPr>
          <w:b/>
          <w:bCs/>
          <w:color w:val="000000" w:themeColor="text1"/>
        </w:rPr>
        <w:t>PV Communication Box</w:t>
      </w:r>
      <w:r w:rsidRPr="00B43423">
        <w:rPr>
          <w:color w:val="000000" w:themeColor="text1"/>
        </w:rPr>
        <w:t>, Weidmüller also offers a communication module that allows users to manage all data independently of the SCADA system and thus without additional costs. With the PV Communication Box, users can also monitor all data, such as voltages and currents of each string, online. Thus, any performance deficiencies can be automatically detected, and those responsible can be notified to solve the problem.</w:t>
      </w:r>
    </w:p>
    <w:p w14:paraId="064FBDDB" w14:textId="77777777" w:rsidR="0087378E" w:rsidRDefault="0087378E" w:rsidP="0087378E">
      <w:pPr>
        <w:spacing w:line="360" w:lineRule="auto"/>
        <w:rPr>
          <w:b/>
          <w:color w:val="000000" w:themeColor="text1"/>
        </w:rPr>
      </w:pPr>
    </w:p>
    <w:p w14:paraId="60122AD1" w14:textId="68BF19DA" w:rsidR="0087378E" w:rsidRPr="0087378E" w:rsidRDefault="0087378E" w:rsidP="0087378E">
      <w:pPr>
        <w:spacing w:line="360" w:lineRule="auto"/>
        <w:rPr>
          <w:b/>
          <w:color w:val="000000" w:themeColor="text1"/>
        </w:rPr>
      </w:pPr>
      <w:r w:rsidRPr="0087378E">
        <w:rPr>
          <w:b/>
          <w:color w:val="000000" w:themeColor="text1"/>
        </w:rPr>
        <w:t xml:space="preserve">PV Communication Box with Many Advantages </w:t>
      </w:r>
    </w:p>
    <w:p w14:paraId="37DC72DB" w14:textId="77777777" w:rsidR="0087378E" w:rsidRPr="0087378E" w:rsidRDefault="0087378E" w:rsidP="0087378E">
      <w:pPr>
        <w:spacing w:line="360" w:lineRule="auto"/>
        <w:rPr>
          <w:color w:val="000000" w:themeColor="text1"/>
        </w:rPr>
      </w:pPr>
      <w:r w:rsidRPr="0087378E">
        <w:rPr>
          <w:color w:val="000000" w:themeColor="text1"/>
        </w:rPr>
        <w:t xml:space="preserve">In addition to online monitoring, the PV Communication Box meets the requirements of IEC 61724-1-ed2.0 for data acquisition and storage. Thus, it provides a normative and verifiable way to access all data. </w:t>
      </w:r>
    </w:p>
    <w:p w14:paraId="1F2F104E" w14:textId="77777777" w:rsidR="0087378E" w:rsidRPr="0087378E" w:rsidRDefault="0087378E" w:rsidP="0087378E">
      <w:pPr>
        <w:spacing w:line="360" w:lineRule="auto"/>
        <w:rPr>
          <w:color w:val="000000" w:themeColor="text1"/>
        </w:rPr>
      </w:pPr>
    </w:p>
    <w:p w14:paraId="6B914485" w14:textId="77777777" w:rsidR="0087378E" w:rsidRPr="0087378E" w:rsidRDefault="0087378E" w:rsidP="0087378E">
      <w:pPr>
        <w:spacing w:line="360" w:lineRule="auto"/>
        <w:rPr>
          <w:color w:val="000000" w:themeColor="text1"/>
        </w:rPr>
      </w:pPr>
      <w:r w:rsidRPr="0087378E">
        <w:rPr>
          <w:color w:val="000000" w:themeColor="text1"/>
        </w:rPr>
        <w:lastRenderedPageBreak/>
        <w:t xml:space="preserve">The solution can be operated in parallel with the existing SCADA system: The SCADA system in the plant can retrieve data from the new retrofit components. With the Weidmüller PV Communication Box, this data can be stored in a cloud and even forwarded at regular intervals for further analysis. </w:t>
      </w:r>
    </w:p>
    <w:p w14:paraId="3EFE8765" w14:textId="77777777" w:rsidR="0087378E" w:rsidRPr="0087378E" w:rsidRDefault="0087378E" w:rsidP="0087378E">
      <w:pPr>
        <w:spacing w:line="360" w:lineRule="auto"/>
        <w:rPr>
          <w:color w:val="000000" w:themeColor="text1"/>
        </w:rPr>
      </w:pPr>
    </w:p>
    <w:p w14:paraId="459D08E1" w14:textId="77777777" w:rsidR="0087378E" w:rsidRPr="0087378E" w:rsidRDefault="0087378E" w:rsidP="0087378E">
      <w:pPr>
        <w:spacing w:line="360" w:lineRule="auto"/>
        <w:rPr>
          <w:color w:val="000000" w:themeColor="text1"/>
        </w:rPr>
      </w:pPr>
      <w:r w:rsidRPr="0087378E">
        <w:rPr>
          <w:color w:val="000000" w:themeColor="text1"/>
        </w:rPr>
        <w:t xml:space="preserve">Many asset owners, operators and maintenance companies prefer a cloud service that allows them to access data at any time without having to pay for a specific SaaS (Software as a Service) for a SCADA system. These cloud services and/or data mining software in the cloud make it possible to process (parallel to the specific SCADA of the plant) big amounts of data. This independence of the SCADA system can be achieved with the PV Communication Box from Weidmüller. </w:t>
      </w:r>
    </w:p>
    <w:p w14:paraId="346A7BC0" w14:textId="77777777" w:rsidR="0087378E" w:rsidRPr="0087378E" w:rsidRDefault="0087378E" w:rsidP="0087378E">
      <w:pPr>
        <w:spacing w:line="360" w:lineRule="auto"/>
        <w:rPr>
          <w:color w:val="000000" w:themeColor="text1"/>
        </w:rPr>
      </w:pPr>
    </w:p>
    <w:p w14:paraId="5613C58E" w14:textId="741A50AF" w:rsidR="00846767" w:rsidRDefault="0087378E" w:rsidP="0087378E">
      <w:pPr>
        <w:spacing w:line="360" w:lineRule="auto"/>
        <w:rPr>
          <w:color w:val="000000" w:themeColor="text1"/>
        </w:rPr>
      </w:pPr>
      <w:r w:rsidRPr="0087378E">
        <w:rPr>
          <w:color w:val="000000" w:themeColor="text1"/>
        </w:rPr>
        <w:t>Cloud services enable the maintenance of large databases that can be used for many activities at a very low cost. As a result, solutions for plant owners or operators and maintenance companies for predictive maintenance, energy forecasts, and many other functions are possible. This is ideal for increasing the performance of existing photovoltaic systems, optimizing the return on investment, and reducing the overall operating costs of the site.</w:t>
      </w:r>
    </w:p>
    <w:p w14:paraId="7D7C4E06" w14:textId="77777777" w:rsidR="008E746D" w:rsidRDefault="008E746D" w:rsidP="0087378E">
      <w:pPr>
        <w:spacing w:line="360" w:lineRule="auto"/>
        <w:rPr>
          <w:color w:val="000000" w:themeColor="text1"/>
        </w:rPr>
      </w:pPr>
    </w:p>
    <w:p w14:paraId="143B1E9B" w14:textId="77777777" w:rsidR="008E746D" w:rsidRPr="008E746D" w:rsidRDefault="008E746D" w:rsidP="008E746D">
      <w:pPr>
        <w:spacing w:line="360" w:lineRule="auto"/>
        <w:rPr>
          <w:b/>
          <w:color w:val="000000" w:themeColor="text1"/>
        </w:rPr>
      </w:pPr>
      <w:r w:rsidRPr="008E746D">
        <w:rPr>
          <w:b/>
          <w:color w:val="000000" w:themeColor="text1"/>
        </w:rPr>
        <w:t xml:space="preserve">Increasing Efficiency and PR in PV Systems through PV Retrofit Combiner Boxes </w:t>
      </w:r>
    </w:p>
    <w:p w14:paraId="7B7E8450" w14:textId="375547EA" w:rsidR="008E746D" w:rsidRPr="0087378E" w:rsidRDefault="008E746D" w:rsidP="008E746D">
      <w:pPr>
        <w:spacing w:line="360" w:lineRule="auto"/>
        <w:rPr>
          <w:color w:val="000000" w:themeColor="text1"/>
        </w:rPr>
      </w:pPr>
      <w:r w:rsidRPr="008E746D">
        <w:rPr>
          <w:color w:val="000000" w:themeColor="text1"/>
        </w:rPr>
        <w:t>The installation of PV Retrofit Combiner Boxes enables precise monitoring at the string level in existing PV systems without extensive work such as trenching and additional wiring (with the wireless models). This solution offers reliable online detection of string faults and facilitates early identification and resolution of issues for operations and maintenance personnel. Due to its easy commissioning and compact design, integration into any PV system is facilitated. Customers can monitor and control the parameters of DC strings in detail, ensuring cost-effective and robust wireless communication. This makes PV Retrofit Combiner Boxes a reliable and economical option for optimizing existing PV systems.</w:t>
      </w:r>
    </w:p>
    <w:p w14:paraId="301234C3" w14:textId="77777777" w:rsidR="00846767" w:rsidRPr="005671D5" w:rsidRDefault="00846767" w:rsidP="00384218">
      <w:pPr>
        <w:spacing w:line="360" w:lineRule="auto"/>
        <w:rPr>
          <w:b/>
          <w:color w:val="000000" w:themeColor="text1"/>
        </w:rPr>
      </w:pPr>
    </w:p>
    <w:p w14:paraId="5E4AA190" w14:textId="06EC55BC" w:rsidR="001746B5" w:rsidRPr="00F55FB8" w:rsidRDefault="001746B5" w:rsidP="00384218">
      <w:pPr>
        <w:spacing w:line="360" w:lineRule="auto"/>
        <w:ind w:right="-851"/>
        <w:rPr>
          <w:rFonts w:eastAsia="Arial" w:cs="Arial"/>
          <w:color w:val="000000" w:themeColor="text1"/>
          <w:sz w:val="18"/>
          <w:szCs w:val="18"/>
        </w:rPr>
      </w:pPr>
      <w:r w:rsidRPr="00046C90">
        <w:rPr>
          <w:color w:val="000000" w:themeColor="text1"/>
          <w:sz w:val="18"/>
        </w:rPr>
        <w:t>5,</w:t>
      </w:r>
      <w:r w:rsidR="00046C90" w:rsidRPr="00046C90">
        <w:rPr>
          <w:color w:val="000000" w:themeColor="text1"/>
          <w:sz w:val="18"/>
        </w:rPr>
        <w:t>837</w:t>
      </w:r>
      <w:r w:rsidRPr="00046C90">
        <w:rPr>
          <w:color w:val="000000" w:themeColor="text1"/>
          <w:sz w:val="18"/>
        </w:rPr>
        <w:t xml:space="preserve"> </w:t>
      </w:r>
      <w:r w:rsidRPr="00046C90">
        <w:rPr>
          <w:sz w:val="18"/>
        </w:rPr>
        <w:t>characters including</w:t>
      </w:r>
      <w:r>
        <w:rPr>
          <w:sz w:val="18"/>
        </w:rPr>
        <w:t xml:space="preserve"> </w:t>
      </w:r>
      <w:proofErr w:type="gramStart"/>
      <w:r>
        <w:rPr>
          <w:sz w:val="18"/>
        </w:rPr>
        <w:t>spaces</w:t>
      </w:r>
      <w:proofErr w:type="gramEnd"/>
      <w:r>
        <w:rPr>
          <w:sz w:val="18"/>
        </w:rPr>
        <w:t xml:space="preserve"> </w:t>
      </w:r>
    </w:p>
    <w:p w14:paraId="74C5AB54" w14:textId="77777777" w:rsidR="001746B5" w:rsidRDefault="001746B5" w:rsidP="00384218">
      <w:pPr>
        <w:spacing w:line="360" w:lineRule="auto"/>
        <w:rPr>
          <w:rFonts w:eastAsia="Arial" w:cs="Arial"/>
          <w:iCs/>
          <w:color w:val="000000" w:themeColor="text1"/>
          <w:szCs w:val="22"/>
          <w:lang w:val="en-US"/>
        </w:rPr>
      </w:pPr>
    </w:p>
    <w:p w14:paraId="020AE94A" w14:textId="534756FF" w:rsidR="004C074C" w:rsidRPr="004C074C" w:rsidRDefault="004C074C" w:rsidP="00384218">
      <w:pPr>
        <w:spacing w:line="360" w:lineRule="auto"/>
        <w:rPr>
          <w:rFonts w:eastAsia="Arial" w:cs="Arial"/>
          <w:iCs/>
          <w:color w:val="000000" w:themeColor="text1"/>
          <w:szCs w:val="22"/>
          <w:lang w:val="en-US"/>
        </w:rPr>
      </w:pPr>
    </w:p>
    <w:p w14:paraId="3B32D11F" w14:textId="7B249B34" w:rsidR="0006288A" w:rsidRPr="004C074C" w:rsidRDefault="00046C90" w:rsidP="00384218">
      <w:pPr>
        <w:spacing w:line="360" w:lineRule="auto"/>
        <w:rPr>
          <w:rFonts w:eastAsia="Arial" w:cs="Arial"/>
          <w:iCs/>
          <w:color w:val="000000" w:themeColor="text1"/>
          <w:szCs w:val="22"/>
          <w:lang w:val="en-US"/>
        </w:rPr>
      </w:pPr>
      <w:r>
        <w:rPr>
          <w:rFonts w:eastAsia="Arial" w:cs="Arial"/>
          <w:iCs/>
          <w:noProof/>
          <w:color w:val="000000" w:themeColor="text1"/>
          <w:szCs w:val="22"/>
          <w:lang w:val="en-US"/>
        </w:rPr>
        <w:drawing>
          <wp:inline distT="0" distB="0" distL="0" distR="0" wp14:anchorId="4FDDA5B9" wp14:editId="72A21D5B">
            <wp:extent cx="4860290" cy="273304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60290" cy="2733040"/>
                    </a:xfrm>
                    <a:prstGeom prst="rect">
                      <a:avLst/>
                    </a:prstGeom>
                    <a:noFill/>
                    <a:ln>
                      <a:noFill/>
                    </a:ln>
                  </pic:spPr>
                </pic:pic>
              </a:graphicData>
            </a:graphic>
          </wp:inline>
        </w:drawing>
      </w:r>
    </w:p>
    <w:p w14:paraId="1A42A9D2" w14:textId="69958571" w:rsidR="00B03B9F" w:rsidRPr="00046C90" w:rsidRDefault="004B2A47" w:rsidP="00384218">
      <w:pPr>
        <w:spacing w:line="360" w:lineRule="auto"/>
        <w:rPr>
          <w:rStyle w:val="ui-provider"/>
          <w:sz w:val="20"/>
          <w:szCs w:val="18"/>
        </w:rPr>
      </w:pPr>
      <w:r w:rsidRPr="00046C90">
        <w:rPr>
          <w:sz w:val="20"/>
          <w:szCs w:val="18"/>
        </w:rPr>
        <w:t xml:space="preserve">Image caption: </w:t>
      </w:r>
      <w:r w:rsidR="00046C90" w:rsidRPr="00046C90">
        <w:rPr>
          <w:rStyle w:val="ui-provider"/>
          <w:sz w:val="20"/>
          <w:szCs w:val="18"/>
        </w:rPr>
        <w:t xml:space="preserve">PV Retrofit Combiner Boxes with PV String Monitoring System from Weidmüller ensure better measurability and higher performance </w:t>
      </w:r>
      <w:proofErr w:type="gramStart"/>
      <w:r w:rsidR="00046C90" w:rsidRPr="00046C90">
        <w:rPr>
          <w:rStyle w:val="ui-provider"/>
          <w:sz w:val="20"/>
          <w:szCs w:val="18"/>
        </w:rPr>
        <w:t>ratio</w:t>
      </w:r>
      <w:proofErr w:type="gramEnd"/>
    </w:p>
    <w:p w14:paraId="58DA61A3" w14:textId="77777777" w:rsidR="000335D2" w:rsidRPr="004C074C" w:rsidRDefault="000335D2" w:rsidP="000335D2">
      <w:pPr>
        <w:spacing w:line="360" w:lineRule="auto"/>
        <w:jc w:val="both"/>
        <w:rPr>
          <w:rFonts w:cs="Arial"/>
          <w:szCs w:val="22"/>
          <w:lang w:val="en-US"/>
        </w:rPr>
      </w:pPr>
    </w:p>
    <w:p w14:paraId="67036ABC" w14:textId="77777777" w:rsidR="004C074C" w:rsidRPr="00E76CF1" w:rsidRDefault="004C074C" w:rsidP="004C074C">
      <w:pPr>
        <w:pStyle w:val="paragraph"/>
        <w:spacing w:before="0" w:beforeAutospacing="0" w:after="0" w:afterAutospacing="0" w:line="360" w:lineRule="auto"/>
        <w:jc w:val="both"/>
        <w:textAlignment w:val="baseline"/>
        <w:rPr>
          <w:rStyle w:val="normaltextrun"/>
          <w:rFonts w:ascii="Arial" w:hAnsi="Arial" w:cs="Arial"/>
          <w:b/>
          <w:bCs/>
          <w:sz w:val="18"/>
          <w:szCs w:val="18"/>
          <w:lang w:val="en-US"/>
        </w:rPr>
      </w:pPr>
      <w:r w:rsidRPr="00E76CF1">
        <w:rPr>
          <w:rStyle w:val="normaltextrun"/>
          <w:rFonts w:ascii="Arial" w:hAnsi="Arial" w:cs="Arial"/>
          <w:b/>
          <w:bCs/>
          <w:sz w:val="18"/>
          <w:szCs w:val="18"/>
          <w:lang w:val="en-US"/>
        </w:rPr>
        <w:t>The Weidmüller Group</w:t>
      </w:r>
    </w:p>
    <w:p w14:paraId="09229EC5" w14:textId="77777777" w:rsidR="004C074C" w:rsidRPr="008801CA" w:rsidRDefault="004C074C" w:rsidP="004C074C">
      <w:pPr>
        <w:pStyle w:val="StandardWeb"/>
        <w:shd w:val="clear" w:color="auto" w:fill="FFFFFF"/>
        <w:spacing w:after="336" w:line="360" w:lineRule="auto"/>
        <w:rPr>
          <w:rFonts w:ascii="Arial" w:eastAsia="Times New Roman" w:hAnsi="Arial" w:cs="Arial"/>
          <w:color w:val="000000"/>
          <w:sz w:val="18"/>
          <w:szCs w:val="18"/>
          <w:lang w:val="en-US" w:eastAsia="de-DE"/>
        </w:rPr>
      </w:pPr>
      <w:r w:rsidRPr="00E76CF1">
        <w:rPr>
          <w:rStyle w:val="normaltextrun"/>
          <w:rFonts w:ascii="Arial" w:eastAsia="Times New Roman" w:hAnsi="Arial" w:cs="Arial"/>
          <w:color w:val="000000"/>
          <w:sz w:val="18"/>
          <w:szCs w:val="18"/>
          <w:lang w:val="en-US" w:eastAsia="de-DE"/>
        </w:rPr>
        <w:t xml:space="preserve">Smart Industrial Connectivity: Electrification, automation, </w:t>
      </w:r>
      <w:proofErr w:type="spellStart"/>
      <w:r w:rsidRPr="00E76CF1">
        <w:rPr>
          <w:rStyle w:val="normaltextrun"/>
          <w:rFonts w:ascii="Arial" w:eastAsia="Times New Roman" w:hAnsi="Arial" w:cs="Arial"/>
          <w:color w:val="000000"/>
          <w:sz w:val="18"/>
          <w:szCs w:val="18"/>
          <w:lang w:val="en-US" w:eastAsia="de-DE"/>
        </w:rPr>
        <w:t>digitalisation</w:t>
      </w:r>
      <w:proofErr w:type="spellEnd"/>
      <w:r w:rsidRPr="00E76CF1">
        <w:rPr>
          <w:rStyle w:val="normaltextrun"/>
          <w:rFonts w:ascii="Arial" w:eastAsia="Times New Roman" w:hAnsi="Arial" w:cs="Arial"/>
          <w:color w:val="000000"/>
          <w:sz w:val="18"/>
          <w:szCs w:val="18"/>
          <w:lang w:val="en-US" w:eastAsia="de-DE"/>
        </w:rPr>
        <w:t>, electrical connectivity, electromobility and renewable energies – markets in which Weidmüller feels right at home. The family-owned company established in 1850 has production facilities and sales companies in over 80 countries. As a global player in electric connection technology, Weidmüller achieved a turnover of more than one billion euros in the 2023 financial year with around 6,000 employees worldwide - around 2,000 of whom work at the company's headquarters in Detmold, in the heart of East Westphalia-Lippe, Germany. What Weidmüller lives by: </w:t>
      </w:r>
      <w:hyperlink r:id="rId12" w:anchor="wm-1246253" w:history="1">
        <w:r w:rsidRPr="008C789D">
          <w:rPr>
            <w:rStyle w:val="Hyperlink"/>
            <w:rFonts w:ascii="Arial" w:hAnsi="Arial" w:cs="Arial"/>
            <w:sz w:val="18"/>
            <w:szCs w:val="18"/>
            <w:lang w:val="en-US" w:eastAsia="de-DE"/>
          </w:rPr>
          <w:t>Diversity with respect</w:t>
        </w:r>
      </w:hyperlink>
    </w:p>
    <w:p w14:paraId="10319155" w14:textId="77777777" w:rsidR="004C074C" w:rsidRDefault="004C074C" w:rsidP="004C074C">
      <w:pPr>
        <w:pStyle w:val="StandardWeb"/>
        <w:shd w:val="clear" w:color="auto" w:fill="FFFFFF"/>
        <w:rPr>
          <w:rStyle w:val="normaltextrun"/>
          <w:rFonts w:ascii="Arial" w:eastAsia="Times New Roman" w:hAnsi="Arial" w:cs="Arial"/>
          <w:color w:val="000000"/>
          <w:sz w:val="18"/>
          <w:szCs w:val="18"/>
          <w:lang w:val="en-US" w:eastAsia="de-DE"/>
        </w:rPr>
      </w:pPr>
      <w:r w:rsidRPr="00E76CF1">
        <w:rPr>
          <w:rStyle w:val="normaltextrun"/>
          <w:rFonts w:ascii="Arial" w:eastAsia="Times New Roman" w:hAnsi="Arial" w:cs="Arial"/>
          <w:color w:val="000000"/>
          <w:sz w:val="18"/>
          <w:szCs w:val="18"/>
          <w:lang w:val="en-US" w:eastAsia="de-DE"/>
        </w:rPr>
        <w:t xml:space="preserve">Technologies and engagement for a </w:t>
      </w:r>
      <w:proofErr w:type="spellStart"/>
      <w:r w:rsidRPr="00E76CF1">
        <w:rPr>
          <w:rStyle w:val="normaltextrun"/>
          <w:rFonts w:ascii="Arial" w:eastAsia="Times New Roman" w:hAnsi="Arial" w:cs="Arial"/>
          <w:color w:val="000000"/>
          <w:sz w:val="18"/>
          <w:szCs w:val="18"/>
          <w:lang w:val="en-US" w:eastAsia="de-DE"/>
        </w:rPr>
        <w:t>liveable</w:t>
      </w:r>
      <w:proofErr w:type="spellEnd"/>
      <w:r w:rsidRPr="00E76CF1">
        <w:rPr>
          <w:rStyle w:val="normaltextrun"/>
          <w:rFonts w:ascii="Arial" w:eastAsia="Times New Roman" w:hAnsi="Arial" w:cs="Arial"/>
          <w:color w:val="000000"/>
          <w:sz w:val="18"/>
          <w:szCs w:val="18"/>
          <w:lang w:val="en-US" w:eastAsia="de-DE"/>
        </w:rPr>
        <w:t xml:space="preserve"> future - Weidmüller demonstrates how it approaches the topic of sustainability in its interactive</w:t>
      </w:r>
      <w:r>
        <w:rPr>
          <w:color w:val="323130"/>
          <w:sz w:val="27"/>
          <w:szCs w:val="27"/>
        </w:rPr>
        <w:t> </w:t>
      </w:r>
      <w:hyperlink r:id="rId13" w:history="1">
        <w:r w:rsidRPr="00A77260">
          <w:rPr>
            <w:rStyle w:val="Hyperlink"/>
            <w:rFonts w:ascii="Arial" w:hAnsi="Arial" w:cs="Arial"/>
            <w:sz w:val="18"/>
            <w:szCs w:val="18"/>
            <w:lang w:val="en-US" w:eastAsia="de-DE"/>
          </w:rPr>
          <w:t>sustainability brochure</w:t>
        </w:r>
      </w:hyperlink>
      <w:r w:rsidRPr="00C4252A">
        <w:rPr>
          <w:rStyle w:val="normaltextrun"/>
          <w:rFonts w:ascii="Arial" w:eastAsia="Times New Roman" w:hAnsi="Arial" w:cs="Arial"/>
          <w:color w:val="000000"/>
          <w:sz w:val="18"/>
          <w:szCs w:val="18"/>
          <w:lang w:val="en-US" w:eastAsia="de-DE"/>
        </w:rPr>
        <w:t>.</w:t>
      </w:r>
    </w:p>
    <w:p w14:paraId="58A13255" w14:textId="77777777" w:rsidR="004C074C" w:rsidRPr="0062213E" w:rsidRDefault="004C074C" w:rsidP="004C074C">
      <w:pPr>
        <w:spacing w:line="360" w:lineRule="auto"/>
        <w:ind w:right="-851"/>
        <w:jc w:val="both"/>
        <w:rPr>
          <w:rFonts w:eastAsia="Arial" w:cs="Arial"/>
          <w:szCs w:val="22"/>
          <w:lang w:val="en-US"/>
        </w:rPr>
      </w:pPr>
    </w:p>
    <w:p w14:paraId="3B14D985" w14:textId="77777777" w:rsidR="004C074C" w:rsidRPr="0062213E" w:rsidRDefault="004C074C" w:rsidP="004C074C">
      <w:pPr>
        <w:spacing w:line="360" w:lineRule="auto"/>
        <w:rPr>
          <w:rFonts w:eastAsia="Arial" w:cs="Arial"/>
          <w:color w:val="000000" w:themeColor="text1"/>
          <w:sz w:val="18"/>
          <w:szCs w:val="18"/>
          <w:lang w:val="en-US"/>
        </w:rPr>
      </w:pPr>
    </w:p>
    <w:p w14:paraId="29E999B6" w14:textId="77777777" w:rsidR="004C074C" w:rsidRPr="001E1EE3" w:rsidRDefault="004C074C" w:rsidP="004C074C">
      <w:pPr>
        <w:pStyle w:val="paragraph"/>
        <w:spacing w:before="0" w:beforeAutospacing="0" w:after="0" w:afterAutospacing="0" w:line="360" w:lineRule="auto"/>
        <w:jc w:val="both"/>
        <w:textAlignment w:val="baseline"/>
        <w:rPr>
          <w:rFonts w:ascii="Arial" w:hAnsi="Arial" w:cs="Arial"/>
          <w:sz w:val="18"/>
          <w:szCs w:val="18"/>
        </w:rPr>
      </w:pPr>
      <w:r w:rsidRPr="001E1EE3">
        <w:rPr>
          <w:rStyle w:val="normaltextrun"/>
          <w:rFonts w:ascii="Arial" w:hAnsi="Arial" w:cs="Arial"/>
          <w:b/>
          <w:bCs/>
          <w:sz w:val="18"/>
          <w:szCs w:val="18"/>
          <w:lang w:val="en-US"/>
        </w:rPr>
        <w:t>Your contact person:</w:t>
      </w:r>
      <w:r w:rsidRPr="001E1EE3">
        <w:rPr>
          <w:rStyle w:val="normaltextrun"/>
          <w:rFonts w:ascii="Arial" w:hAnsi="Arial" w:cs="Arial"/>
          <w:sz w:val="18"/>
          <w:szCs w:val="18"/>
          <w:lang w:val="en-US"/>
        </w:rPr>
        <w:t xml:space="preserve"> </w:t>
      </w:r>
      <w:r w:rsidRPr="001E1EE3">
        <w:rPr>
          <w:rStyle w:val="tabchar"/>
          <w:rFonts w:ascii="Arial" w:hAnsi="Arial" w:cs="Arial"/>
          <w:sz w:val="18"/>
          <w:szCs w:val="18"/>
        </w:rPr>
        <w:tab/>
      </w:r>
      <w:r w:rsidRPr="001E1EE3">
        <w:rPr>
          <w:rStyle w:val="tabchar"/>
          <w:rFonts w:ascii="Arial" w:hAnsi="Arial" w:cs="Arial"/>
          <w:sz w:val="22"/>
          <w:szCs w:val="22"/>
        </w:rPr>
        <w:tab/>
      </w:r>
      <w:r w:rsidRPr="001E1EE3">
        <w:rPr>
          <w:rStyle w:val="normaltextrun"/>
          <w:rFonts w:ascii="Arial" w:hAnsi="Arial" w:cs="Arial"/>
          <w:sz w:val="18"/>
          <w:szCs w:val="18"/>
          <w:lang w:val="en-US"/>
        </w:rPr>
        <w:t>Weidmüller Corporate Communications </w:t>
      </w:r>
      <w:r w:rsidRPr="001E1EE3">
        <w:rPr>
          <w:rStyle w:val="eop"/>
          <w:rFonts w:ascii="Arial" w:eastAsiaTheme="minorHAnsi" w:hAnsi="Arial" w:cs="Arial"/>
          <w:sz w:val="18"/>
          <w:szCs w:val="18"/>
        </w:rPr>
        <w:t> </w:t>
      </w:r>
    </w:p>
    <w:p w14:paraId="01BA9F28" w14:textId="77777777" w:rsidR="004C074C" w:rsidRPr="001E1EE3" w:rsidRDefault="004C074C" w:rsidP="004C074C">
      <w:pPr>
        <w:pStyle w:val="paragraph"/>
        <w:spacing w:before="0" w:beforeAutospacing="0" w:after="0" w:afterAutospacing="0" w:line="360" w:lineRule="auto"/>
        <w:jc w:val="both"/>
        <w:textAlignment w:val="baseline"/>
        <w:rPr>
          <w:rFonts w:ascii="Arial" w:hAnsi="Arial" w:cs="Arial"/>
          <w:sz w:val="18"/>
          <w:szCs w:val="18"/>
        </w:rPr>
      </w:pPr>
      <w:r w:rsidRPr="001E1EE3">
        <w:rPr>
          <w:rStyle w:val="normaltextrun"/>
          <w:rFonts w:ascii="Arial" w:hAnsi="Arial" w:cs="Arial"/>
          <w:sz w:val="18"/>
          <w:szCs w:val="18"/>
          <w:lang w:val="en-US"/>
        </w:rPr>
        <w:t xml:space="preserve">   </w:t>
      </w:r>
      <w:r w:rsidRPr="001E1EE3">
        <w:rPr>
          <w:rStyle w:val="tabchar"/>
          <w:rFonts w:ascii="Arial" w:hAnsi="Arial" w:cs="Arial"/>
          <w:sz w:val="18"/>
          <w:szCs w:val="18"/>
        </w:rPr>
        <w:tab/>
      </w:r>
      <w:r w:rsidRPr="001E1EE3">
        <w:rPr>
          <w:rStyle w:val="tabchar"/>
          <w:rFonts w:ascii="Arial" w:hAnsi="Arial" w:cs="Arial"/>
          <w:sz w:val="22"/>
          <w:szCs w:val="22"/>
        </w:rPr>
        <w:tab/>
      </w:r>
      <w:r w:rsidRPr="001E1EE3">
        <w:rPr>
          <w:rStyle w:val="tabchar"/>
          <w:rFonts w:ascii="Arial" w:hAnsi="Arial" w:cs="Arial"/>
          <w:sz w:val="22"/>
          <w:szCs w:val="22"/>
        </w:rPr>
        <w:tab/>
      </w:r>
      <w:r w:rsidRPr="001E1EE3">
        <w:rPr>
          <w:rStyle w:val="tabchar"/>
          <w:rFonts w:ascii="Arial" w:hAnsi="Arial" w:cs="Arial"/>
          <w:sz w:val="22"/>
          <w:szCs w:val="22"/>
        </w:rPr>
        <w:tab/>
      </w:r>
      <w:r w:rsidRPr="001E1EE3">
        <w:rPr>
          <w:rStyle w:val="normaltextrun"/>
          <w:rFonts w:ascii="Arial" w:hAnsi="Arial" w:cs="Arial"/>
          <w:sz w:val="18"/>
          <w:szCs w:val="18"/>
          <w:lang w:val="en-US"/>
        </w:rPr>
        <w:t>Tel.: +49 5231 14-292322</w:t>
      </w:r>
      <w:r w:rsidRPr="001E1EE3">
        <w:rPr>
          <w:rStyle w:val="eop"/>
          <w:rFonts w:ascii="Arial" w:eastAsiaTheme="minorHAnsi" w:hAnsi="Arial" w:cs="Arial"/>
          <w:sz w:val="18"/>
          <w:szCs w:val="18"/>
        </w:rPr>
        <w:t> </w:t>
      </w:r>
    </w:p>
    <w:p w14:paraId="6F78724F" w14:textId="77777777" w:rsidR="004C074C" w:rsidRDefault="004C074C" w:rsidP="004C074C">
      <w:pPr>
        <w:pStyle w:val="paragraph"/>
        <w:spacing w:before="0" w:beforeAutospacing="0" w:after="0" w:afterAutospacing="0" w:line="360" w:lineRule="auto"/>
        <w:ind w:left="2115" w:firstLine="705"/>
        <w:jc w:val="both"/>
        <w:textAlignment w:val="baseline"/>
        <w:rPr>
          <w:rStyle w:val="eop"/>
          <w:rFonts w:ascii="Arial" w:eastAsiaTheme="majorEastAsia" w:hAnsi="Arial" w:cs="Arial"/>
          <w:sz w:val="18"/>
          <w:szCs w:val="18"/>
        </w:rPr>
      </w:pPr>
      <w:r w:rsidRPr="001E1EE3">
        <w:rPr>
          <w:rStyle w:val="normaltextrun"/>
          <w:rFonts w:ascii="Arial" w:hAnsi="Arial" w:cs="Arial"/>
          <w:sz w:val="18"/>
          <w:szCs w:val="18"/>
          <w:lang w:val="en-US"/>
        </w:rPr>
        <w:t xml:space="preserve">Email: </w:t>
      </w:r>
      <w:hyperlink r:id="rId14" w:tgtFrame="_blank" w:history="1">
        <w:r w:rsidRPr="001E1EE3">
          <w:rPr>
            <w:rStyle w:val="normaltextrun"/>
            <w:rFonts w:ascii="Arial" w:hAnsi="Arial" w:cs="Arial"/>
            <w:color w:val="0000FF"/>
            <w:sz w:val="18"/>
            <w:szCs w:val="18"/>
            <w:lang w:val="en-US"/>
          </w:rPr>
          <w:t>presse@weidmueller.com</w:t>
        </w:r>
      </w:hyperlink>
      <w:r w:rsidRPr="001E1EE3">
        <w:rPr>
          <w:rStyle w:val="eop"/>
          <w:rFonts w:ascii="Arial" w:eastAsiaTheme="minorHAnsi" w:hAnsi="Arial" w:cs="Arial"/>
          <w:sz w:val="22"/>
          <w:szCs w:val="22"/>
        </w:rPr>
        <w:t> </w:t>
      </w:r>
      <w:r>
        <w:rPr>
          <w:rStyle w:val="eop"/>
          <w:rFonts w:ascii="Arial" w:eastAsiaTheme="minorHAnsi" w:hAnsi="Arial" w:cs="Arial"/>
          <w:sz w:val="18"/>
          <w:szCs w:val="18"/>
        </w:rPr>
        <w:t> </w:t>
      </w:r>
    </w:p>
    <w:p w14:paraId="4358EEC9" w14:textId="081AF06A" w:rsidR="0D2465AE" w:rsidRPr="004C074C" w:rsidRDefault="0D2465AE" w:rsidP="0D2465AE">
      <w:pPr>
        <w:jc w:val="both"/>
        <w:rPr>
          <w:rFonts w:eastAsia="Arial" w:cs="Arial"/>
          <w:color w:val="000000" w:themeColor="text1"/>
          <w:sz w:val="18"/>
          <w:szCs w:val="18"/>
          <w:lang w:val="en-US"/>
        </w:rPr>
      </w:pPr>
    </w:p>
    <w:sectPr w:rsidR="0D2465AE" w:rsidRPr="004C074C" w:rsidSect="002D1AF5">
      <w:headerReference w:type="default" r:id="rId15"/>
      <w:footerReference w:type="default" r:id="rId16"/>
      <w:pgSz w:w="11906" w:h="16838"/>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AA8ED" w14:textId="77777777" w:rsidR="006C3E3E" w:rsidRDefault="006C3E3E">
      <w:r>
        <w:separator/>
      </w:r>
    </w:p>
  </w:endnote>
  <w:endnote w:type="continuationSeparator" w:id="0">
    <w:p w14:paraId="0A127BE0" w14:textId="77777777" w:rsidR="006C3E3E" w:rsidRDefault="006C3E3E">
      <w:r>
        <w:continuationSeparator/>
      </w:r>
    </w:p>
  </w:endnote>
  <w:endnote w:type="continuationNotice" w:id="1">
    <w:p w14:paraId="2CCA33D5" w14:textId="77777777" w:rsidR="006C3E3E" w:rsidRDefault="006C3E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EndPr/>
    <w:sdtContent>
      <w:p w14:paraId="3C802467" w14:textId="77777777" w:rsidR="00F829AE" w:rsidRDefault="00C84A7F" w:rsidP="009D6AB0">
        <w:pPr>
          <w:pStyle w:val="Fuzeile"/>
          <w:jc w:val="center"/>
        </w:pPr>
        <w:r w:rsidRPr="009D6AB0">
          <w:fldChar w:fldCharType="begin"/>
        </w:r>
        <w:r w:rsidR="00F829AE" w:rsidRPr="009D6AB0">
          <w:rPr>
            <w:sz w:val="16"/>
          </w:rPr>
          <w:instrText xml:space="preserve"> PAGE   \* MERGEFORMAT </w:instrText>
        </w:r>
        <w:r w:rsidRPr="009D6AB0">
          <w:rPr>
            <w:sz w:val="16"/>
          </w:rPr>
          <w:fldChar w:fldCharType="separate"/>
        </w:r>
        <w:r w:rsidR="003E60A3">
          <w:rPr>
            <w:sz w:val="16"/>
          </w:rPr>
          <w:t>1</w:t>
        </w:r>
        <w:r w:rsidRPr="009D6AB0">
          <w:rPr>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A2F4F" w14:textId="77777777" w:rsidR="006C3E3E" w:rsidRDefault="006C3E3E">
      <w:r>
        <w:separator/>
      </w:r>
    </w:p>
  </w:footnote>
  <w:footnote w:type="continuationSeparator" w:id="0">
    <w:p w14:paraId="6D8A1DBB" w14:textId="77777777" w:rsidR="006C3E3E" w:rsidRDefault="006C3E3E">
      <w:r>
        <w:continuationSeparator/>
      </w:r>
    </w:p>
  </w:footnote>
  <w:footnote w:type="continuationNotice" w:id="1">
    <w:p w14:paraId="27D19044" w14:textId="77777777" w:rsidR="006C3E3E" w:rsidRDefault="006C3E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640F" w14:textId="77777777" w:rsidR="00F829AE" w:rsidRPr="00A76EBC" w:rsidRDefault="6D676724">
    <w:pPr>
      <w:pStyle w:val="Kopfzeile"/>
    </w:pPr>
    <w:r>
      <w:rPr>
        <w:sz w:val="32"/>
      </w:rPr>
      <w:t>Press Release</w:t>
    </w:r>
    <w:r>
      <w:rPr>
        <w:b/>
        <w:sz w:val="32"/>
      </w:rPr>
      <w:tab/>
    </w:r>
    <w:r>
      <w:rPr>
        <w:b/>
        <w:sz w:val="32"/>
      </w:rPr>
      <w:tab/>
    </w:r>
    <w:r>
      <w:rPr>
        <w:noProof/>
      </w:rPr>
      <w:drawing>
        <wp:anchor distT="0" distB="0" distL="114300" distR="114300" simplePos="0" relativeHeight="251658240" behindDoc="1" locked="0" layoutInCell="1" allowOverlap="1" wp14:anchorId="38DDBFB5" wp14:editId="2E1062BD">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Grafik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746417070">
    <w:abstractNumId w:val="6"/>
  </w:num>
  <w:num w:numId="2" w16cid:durableId="1478231357">
    <w:abstractNumId w:val="12"/>
  </w:num>
  <w:num w:numId="3" w16cid:durableId="1173034077">
    <w:abstractNumId w:val="1"/>
  </w:num>
  <w:num w:numId="4" w16cid:durableId="1784229746">
    <w:abstractNumId w:val="7"/>
  </w:num>
  <w:num w:numId="5" w16cid:durableId="72704702">
    <w:abstractNumId w:val="10"/>
  </w:num>
  <w:num w:numId="6" w16cid:durableId="2081520607">
    <w:abstractNumId w:val="5"/>
  </w:num>
  <w:num w:numId="7" w16cid:durableId="479081666">
    <w:abstractNumId w:val="9"/>
  </w:num>
  <w:num w:numId="8" w16cid:durableId="1567909672">
    <w:abstractNumId w:val="11"/>
  </w:num>
  <w:num w:numId="9" w16cid:durableId="1873611558">
    <w:abstractNumId w:val="8"/>
  </w:num>
  <w:num w:numId="10" w16cid:durableId="541090672">
    <w:abstractNumId w:val="4"/>
  </w:num>
  <w:num w:numId="11" w16cid:durableId="293024424">
    <w:abstractNumId w:val="0"/>
  </w:num>
  <w:num w:numId="12" w16cid:durableId="623850576">
    <w:abstractNumId w:val="3"/>
  </w:num>
  <w:num w:numId="13" w16cid:durableId="18474789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30"/>
    <w:rsid w:val="00000B7D"/>
    <w:rsid w:val="0000158F"/>
    <w:rsid w:val="00002AB0"/>
    <w:rsid w:val="00003371"/>
    <w:rsid w:val="00004CCF"/>
    <w:rsid w:val="000057CE"/>
    <w:rsid w:val="000064C9"/>
    <w:rsid w:val="0000701B"/>
    <w:rsid w:val="00011DE8"/>
    <w:rsid w:val="00013CB8"/>
    <w:rsid w:val="0001518B"/>
    <w:rsid w:val="00016998"/>
    <w:rsid w:val="00017273"/>
    <w:rsid w:val="000179EB"/>
    <w:rsid w:val="00017CEE"/>
    <w:rsid w:val="00021549"/>
    <w:rsid w:val="000227E9"/>
    <w:rsid w:val="0002383F"/>
    <w:rsid w:val="00023858"/>
    <w:rsid w:val="00023F8B"/>
    <w:rsid w:val="00026E27"/>
    <w:rsid w:val="00027A70"/>
    <w:rsid w:val="000314DF"/>
    <w:rsid w:val="00032D45"/>
    <w:rsid w:val="000335D2"/>
    <w:rsid w:val="00033A07"/>
    <w:rsid w:val="00035232"/>
    <w:rsid w:val="000355B2"/>
    <w:rsid w:val="000468A4"/>
    <w:rsid w:val="00046C90"/>
    <w:rsid w:val="00050088"/>
    <w:rsid w:val="00051261"/>
    <w:rsid w:val="00051A23"/>
    <w:rsid w:val="00051ED1"/>
    <w:rsid w:val="000539F0"/>
    <w:rsid w:val="00055BAA"/>
    <w:rsid w:val="00056C2B"/>
    <w:rsid w:val="00056C65"/>
    <w:rsid w:val="00060341"/>
    <w:rsid w:val="00061AF9"/>
    <w:rsid w:val="0006288A"/>
    <w:rsid w:val="00063775"/>
    <w:rsid w:val="000658EF"/>
    <w:rsid w:val="00067C16"/>
    <w:rsid w:val="00070E79"/>
    <w:rsid w:val="00072519"/>
    <w:rsid w:val="0007277F"/>
    <w:rsid w:val="00072C4E"/>
    <w:rsid w:val="00073340"/>
    <w:rsid w:val="0007478F"/>
    <w:rsid w:val="00074E7E"/>
    <w:rsid w:val="0007794C"/>
    <w:rsid w:val="000837EA"/>
    <w:rsid w:val="00083F1F"/>
    <w:rsid w:val="00086747"/>
    <w:rsid w:val="00086AB7"/>
    <w:rsid w:val="000876CA"/>
    <w:rsid w:val="00087CD8"/>
    <w:rsid w:val="00090604"/>
    <w:rsid w:val="00090F51"/>
    <w:rsid w:val="000924AC"/>
    <w:rsid w:val="0009352C"/>
    <w:rsid w:val="000957BD"/>
    <w:rsid w:val="00096D1E"/>
    <w:rsid w:val="000A0897"/>
    <w:rsid w:val="000A35AB"/>
    <w:rsid w:val="000A3D49"/>
    <w:rsid w:val="000A49CB"/>
    <w:rsid w:val="000A5A6A"/>
    <w:rsid w:val="000A6046"/>
    <w:rsid w:val="000A7CD8"/>
    <w:rsid w:val="000A7E05"/>
    <w:rsid w:val="000B0451"/>
    <w:rsid w:val="000B4AAD"/>
    <w:rsid w:val="000B4FA4"/>
    <w:rsid w:val="000B509F"/>
    <w:rsid w:val="000B5E6F"/>
    <w:rsid w:val="000B5F8F"/>
    <w:rsid w:val="000C0A7E"/>
    <w:rsid w:val="000C1149"/>
    <w:rsid w:val="000C497A"/>
    <w:rsid w:val="000C54B0"/>
    <w:rsid w:val="000D0639"/>
    <w:rsid w:val="000D4164"/>
    <w:rsid w:val="000D580F"/>
    <w:rsid w:val="000D5B72"/>
    <w:rsid w:val="000D74E4"/>
    <w:rsid w:val="000D7CCB"/>
    <w:rsid w:val="000E0642"/>
    <w:rsid w:val="000E3118"/>
    <w:rsid w:val="000E4BA2"/>
    <w:rsid w:val="000E7839"/>
    <w:rsid w:val="000F0163"/>
    <w:rsid w:val="000F09CB"/>
    <w:rsid w:val="000F1327"/>
    <w:rsid w:val="000F23E2"/>
    <w:rsid w:val="000F2430"/>
    <w:rsid w:val="00100FCC"/>
    <w:rsid w:val="00101BE7"/>
    <w:rsid w:val="00101DAF"/>
    <w:rsid w:val="00102309"/>
    <w:rsid w:val="00102448"/>
    <w:rsid w:val="00103384"/>
    <w:rsid w:val="001039AC"/>
    <w:rsid w:val="0010439A"/>
    <w:rsid w:val="0011210E"/>
    <w:rsid w:val="00117EAA"/>
    <w:rsid w:val="0012002F"/>
    <w:rsid w:val="00120244"/>
    <w:rsid w:val="001217C0"/>
    <w:rsid w:val="00121855"/>
    <w:rsid w:val="00122555"/>
    <w:rsid w:val="00122C0A"/>
    <w:rsid w:val="00123CD3"/>
    <w:rsid w:val="0012567B"/>
    <w:rsid w:val="00130037"/>
    <w:rsid w:val="001304E4"/>
    <w:rsid w:val="0013062C"/>
    <w:rsid w:val="00132236"/>
    <w:rsid w:val="00132890"/>
    <w:rsid w:val="00133D69"/>
    <w:rsid w:val="001374EA"/>
    <w:rsid w:val="00137D2B"/>
    <w:rsid w:val="001426F9"/>
    <w:rsid w:val="001445C5"/>
    <w:rsid w:val="00144987"/>
    <w:rsid w:val="0014532F"/>
    <w:rsid w:val="001456A7"/>
    <w:rsid w:val="00150C8E"/>
    <w:rsid w:val="00152C62"/>
    <w:rsid w:val="0015362B"/>
    <w:rsid w:val="0015406B"/>
    <w:rsid w:val="0015441B"/>
    <w:rsid w:val="00155711"/>
    <w:rsid w:val="00155CB6"/>
    <w:rsid w:val="001610C4"/>
    <w:rsid w:val="00164D21"/>
    <w:rsid w:val="001716DA"/>
    <w:rsid w:val="0017209F"/>
    <w:rsid w:val="00173115"/>
    <w:rsid w:val="001746B5"/>
    <w:rsid w:val="00174884"/>
    <w:rsid w:val="00174D64"/>
    <w:rsid w:val="00174F44"/>
    <w:rsid w:val="001775EB"/>
    <w:rsid w:val="0018130D"/>
    <w:rsid w:val="001821AA"/>
    <w:rsid w:val="00183774"/>
    <w:rsid w:val="00184B80"/>
    <w:rsid w:val="0018718A"/>
    <w:rsid w:val="00190C40"/>
    <w:rsid w:val="00191EDA"/>
    <w:rsid w:val="0019319D"/>
    <w:rsid w:val="00194D5B"/>
    <w:rsid w:val="0019513F"/>
    <w:rsid w:val="00195798"/>
    <w:rsid w:val="00197E3A"/>
    <w:rsid w:val="001A1A69"/>
    <w:rsid w:val="001A258A"/>
    <w:rsid w:val="001A3E19"/>
    <w:rsid w:val="001A743C"/>
    <w:rsid w:val="001A795A"/>
    <w:rsid w:val="001B3572"/>
    <w:rsid w:val="001B4C08"/>
    <w:rsid w:val="001B77A6"/>
    <w:rsid w:val="001B78CC"/>
    <w:rsid w:val="001B7BED"/>
    <w:rsid w:val="001C0E6B"/>
    <w:rsid w:val="001C23B6"/>
    <w:rsid w:val="001C31E3"/>
    <w:rsid w:val="001C6A9A"/>
    <w:rsid w:val="001D278A"/>
    <w:rsid w:val="001D3784"/>
    <w:rsid w:val="001D46A1"/>
    <w:rsid w:val="001D603A"/>
    <w:rsid w:val="001D76DD"/>
    <w:rsid w:val="001E0CEC"/>
    <w:rsid w:val="001E109E"/>
    <w:rsid w:val="001E2628"/>
    <w:rsid w:val="001E491B"/>
    <w:rsid w:val="001E6352"/>
    <w:rsid w:val="001E7D6A"/>
    <w:rsid w:val="001F152E"/>
    <w:rsid w:val="001F4D47"/>
    <w:rsid w:val="001F7EAF"/>
    <w:rsid w:val="00200B3A"/>
    <w:rsid w:val="0020183D"/>
    <w:rsid w:val="00201E47"/>
    <w:rsid w:val="002034F3"/>
    <w:rsid w:val="002040A5"/>
    <w:rsid w:val="00204E8C"/>
    <w:rsid w:val="00206AD9"/>
    <w:rsid w:val="0020701B"/>
    <w:rsid w:val="00207A89"/>
    <w:rsid w:val="002113BF"/>
    <w:rsid w:val="00212017"/>
    <w:rsid w:val="00212E50"/>
    <w:rsid w:val="00212FB5"/>
    <w:rsid w:val="00216C3E"/>
    <w:rsid w:val="002175A6"/>
    <w:rsid w:val="00217764"/>
    <w:rsid w:val="00221668"/>
    <w:rsid w:val="00221D0D"/>
    <w:rsid w:val="00222F14"/>
    <w:rsid w:val="00223228"/>
    <w:rsid w:val="00224245"/>
    <w:rsid w:val="0022437B"/>
    <w:rsid w:val="00227154"/>
    <w:rsid w:val="002277A6"/>
    <w:rsid w:val="0023146C"/>
    <w:rsid w:val="0023381B"/>
    <w:rsid w:val="00233EC5"/>
    <w:rsid w:val="00234C2F"/>
    <w:rsid w:val="00234DA7"/>
    <w:rsid w:val="00235688"/>
    <w:rsid w:val="002356DB"/>
    <w:rsid w:val="002358FD"/>
    <w:rsid w:val="00235AED"/>
    <w:rsid w:val="00235B09"/>
    <w:rsid w:val="0023704A"/>
    <w:rsid w:val="00237138"/>
    <w:rsid w:val="00240D17"/>
    <w:rsid w:val="002420B1"/>
    <w:rsid w:val="00244E2D"/>
    <w:rsid w:val="00245583"/>
    <w:rsid w:val="00247301"/>
    <w:rsid w:val="002511BA"/>
    <w:rsid w:val="00252D03"/>
    <w:rsid w:val="00260EED"/>
    <w:rsid w:val="00261C8A"/>
    <w:rsid w:val="002649D3"/>
    <w:rsid w:val="00264C32"/>
    <w:rsid w:val="00265609"/>
    <w:rsid w:val="00267422"/>
    <w:rsid w:val="00273056"/>
    <w:rsid w:val="002736B1"/>
    <w:rsid w:val="00275EB6"/>
    <w:rsid w:val="002766F3"/>
    <w:rsid w:val="00276D38"/>
    <w:rsid w:val="00277119"/>
    <w:rsid w:val="00277F47"/>
    <w:rsid w:val="00281F5C"/>
    <w:rsid w:val="002844F5"/>
    <w:rsid w:val="0028742B"/>
    <w:rsid w:val="0029023D"/>
    <w:rsid w:val="00290480"/>
    <w:rsid w:val="002931D0"/>
    <w:rsid w:val="00293F75"/>
    <w:rsid w:val="00295C07"/>
    <w:rsid w:val="00296D1B"/>
    <w:rsid w:val="00296D66"/>
    <w:rsid w:val="002A1149"/>
    <w:rsid w:val="002A268F"/>
    <w:rsid w:val="002A2862"/>
    <w:rsid w:val="002A434B"/>
    <w:rsid w:val="002A6251"/>
    <w:rsid w:val="002A6B83"/>
    <w:rsid w:val="002A7950"/>
    <w:rsid w:val="002B117A"/>
    <w:rsid w:val="002B18E0"/>
    <w:rsid w:val="002B2C38"/>
    <w:rsid w:val="002B3D50"/>
    <w:rsid w:val="002B5E35"/>
    <w:rsid w:val="002B705B"/>
    <w:rsid w:val="002B780F"/>
    <w:rsid w:val="002B78B0"/>
    <w:rsid w:val="002C0A1C"/>
    <w:rsid w:val="002C103C"/>
    <w:rsid w:val="002C160B"/>
    <w:rsid w:val="002C1D06"/>
    <w:rsid w:val="002C25EA"/>
    <w:rsid w:val="002C7E11"/>
    <w:rsid w:val="002D17EF"/>
    <w:rsid w:val="002D1AF5"/>
    <w:rsid w:val="002D2AD9"/>
    <w:rsid w:val="002D3E4C"/>
    <w:rsid w:val="002D460B"/>
    <w:rsid w:val="002E07F4"/>
    <w:rsid w:val="002E0F74"/>
    <w:rsid w:val="002E1055"/>
    <w:rsid w:val="002E1D72"/>
    <w:rsid w:val="002E3BD6"/>
    <w:rsid w:val="002E7BDE"/>
    <w:rsid w:val="002F1407"/>
    <w:rsid w:val="002F17C8"/>
    <w:rsid w:val="002F4871"/>
    <w:rsid w:val="0030064E"/>
    <w:rsid w:val="0030188F"/>
    <w:rsid w:val="00301B96"/>
    <w:rsid w:val="003037AC"/>
    <w:rsid w:val="003042F2"/>
    <w:rsid w:val="0030662D"/>
    <w:rsid w:val="00314964"/>
    <w:rsid w:val="00314A2A"/>
    <w:rsid w:val="00316C14"/>
    <w:rsid w:val="0031729F"/>
    <w:rsid w:val="00320F35"/>
    <w:rsid w:val="003213F9"/>
    <w:rsid w:val="00322573"/>
    <w:rsid w:val="00324B94"/>
    <w:rsid w:val="00325165"/>
    <w:rsid w:val="00325C18"/>
    <w:rsid w:val="003278E6"/>
    <w:rsid w:val="00330602"/>
    <w:rsid w:val="00330C01"/>
    <w:rsid w:val="003339BF"/>
    <w:rsid w:val="003359BF"/>
    <w:rsid w:val="00337CEE"/>
    <w:rsid w:val="00340394"/>
    <w:rsid w:val="0034188A"/>
    <w:rsid w:val="003418D4"/>
    <w:rsid w:val="0034208A"/>
    <w:rsid w:val="0034253D"/>
    <w:rsid w:val="003432FE"/>
    <w:rsid w:val="00343938"/>
    <w:rsid w:val="00344449"/>
    <w:rsid w:val="0034450C"/>
    <w:rsid w:val="00344F31"/>
    <w:rsid w:val="00347DA2"/>
    <w:rsid w:val="00351F0E"/>
    <w:rsid w:val="00360090"/>
    <w:rsid w:val="00360098"/>
    <w:rsid w:val="00360BCE"/>
    <w:rsid w:val="003630AF"/>
    <w:rsid w:val="00363708"/>
    <w:rsid w:val="00364286"/>
    <w:rsid w:val="00371718"/>
    <w:rsid w:val="00373555"/>
    <w:rsid w:val="00373E55"/>
    <w:rsid w:val="00374B46"/>
    <w:rsid w:val="0037540B"/>
    <w:rsid w:val="003767D5"/>
    <w:rsid w:val="00377264"/>
    <w:rsid w:val="0038261F"/>
    <w:rsid w:val="003829A7"/>
    <w:rsid w:val="00384218"/>
    <w:rsid w:val="003908CB"/>
    <w:rsid w:val="003913A5"/>
    <w:rsid w:val="003917C9"/>
    <w:rsid w:val="003923BA"/>
    <w:rsid w:val="00392F69"/>
    <w:rsid w:val="00394B15"/>
    <w:rsid w:val="003A2B95"/>
    <w:rsid w:val="003A2D4E"/>
    <w:rsid w:val="003A3BBA"/>
    <w:rsid w:val="003A402E"/>
    <w:rsid w:val="003A5204"/>
    <w:rsid w:val="003A5A01"/>
    <w:rsid w:val="003B093B"/>
    <w:rsid w:val="003B2BCA"/>
    <w:rsid w:val="003B41C4"/>
    <w:rsid w:val="003B429B"/>
    <w:rsid w:val="003B4553"/>
    <w:rsid w:val="003B511D"/>
    <w:rsid w:val="003B6345"/>
    <w:rsid w:val="003C1C50"/>
    <w:rsid w:val="003C2E33"/>
    <w:rsid w:val="003C53B7"/>
    <w:rsid w:val="003C5618"/>
    <w:rsid w:val="003D06EA"/>
    <w:rsid w:val="003D12EB"/>
    <w:rsid w:val="003D15C8"/>
    <w:rsid w:val="003D17D4"/>
    <w:rsid w:val="003D1C00"/>
    <w:rsid w:val="003D1FB3"/>
    <w:rsid w:val="003D2187"/>
    <w:rsid w:val="003D553E"/>
    <w:rsid w:val="003D73A2"/>
    <w:rsid w:val="003E0332"/>
    <w:rsid w:val="003E03DB"/>
    <w:rsid w:val="003E23B3"/>
    <w:rsid w:val="003E2422"/>
    <w:rsid w:val="003E3FB0"/>
    <w:rsid w:val="003E46ED"/>
    <w:rsid w:val="003E60A3"/>
    <w:rsid w:val="003E6F20"/>
    <w:rsid w:val="003E7FED"/>
    <w:rsid w:val="003F1776"/>
    <w:rsid w:val="003F20B7"/>
    <w:rsid w:val="003F20F1"/>
    <w:rsid w:val="003F53D0"/>
    <w:rsid w:val="003F787C"/>
    <w:rsid w:val="003F79DC"/>
    <w:rsid w:val="004002FC"/>
    <w:rsid w:val="004002FD"/>
    <w:rsid w:val="00400538"/>
    <w:rsid w:val="004008DD"/>
    <w:rsid w:val="00400C2B"/>
    <w:rsid w:val="00401944"/>
    <w:rsid w:val="00402236"/>
    <w:rsid w:val="0040302B"/>
    <w:rsid w:val="004036B2"/>
    <w:rsid w:val="0040457E"/>
    <w:rsid w:val="00404799"/>
    <w:rsid w:val="00406761"/>
    <w:rsid w:val="004076EF"/>
    <w:rsid w:val="00413912"/>
    <w:rsid w:val="00413A31"/>
    <w:rsid w:val="00415B91"/>
    <w:rsid w:val="004161D7"/>
    <w:rsid w:val="0041669A"/>
    <w:rsid w:val="00416ACB"/>
    <w:rsid w:val="00421CB1"/>
    <w:rsid w:val="00423D3E"/>
    <w:rsid w:val="004254AC"/>
    <w:rsid w:val="00426B5A"/>
    <w:rsid w:val="00427452"/>
    <w:rsid w:val="004313B4"/>
    <w:rsid w:val="004326CF"/>
    <w:rsid w:val="0043346E"/>
    <w:rsid w:val="004339BC"/>
    <w:rsid w:val="00433EB6"/>
    <w:rsid w:val="00435039"/>
    <w:rsid w:val="0043655B"/>
    <w:rsid w:val="004375B3"/>
    <w:rsid w:val="00437A89"/>
    <w:rsid w:val="004417EF"/>
    <w:rsid w:val="0044330C"/>
    <w:rsid w:val="0044358E"/>
    <w:rsid w:val="00446514"/>
    <w:rsid w:val="004476E7"/>
    <w:rsid w:val="0045446C"/>
    <w:rsid w:val="0045591F"/>
    <w:rsid w:val="00456410"/>
    <w:rsid w:val="00462B36"/>
    <w:rsid w:val="0046303A"/>
    <w:rsid w:val="004639A5"/>
    <w:rsid w:val="00466129"/>
    <w:rsid w:val="0046618A"/>
    <w:rsid w:val="004661DA"/>
    <w:rsid w:val="00467973"/>
    <w:rsid w:val="00471614"/>
    <w:rsid w:val="00473AA6"/>
    <w:rsid w:val="00474643"/>
    <w:rsid w:val="00475210"/>
    <w:rsid w:val="0047613B"/>
    <w:rsid w:val="0047650B"/>
    <w:rsid w:val="0048010A"/>
    <w:rsid w:val="0048038C"/>
    <w:rsid w:val="00480E0C"/>
    <w:rsid w:val="00481527"/>
    <w:rsid w:val="004847A3"/>
    <w:rsid w:val="0048587D"/>
    <w:rsid w:val="0048665F"/>
    <w:rsid w:val="00486A1D"/>
    <w:rsid w:val="00486AAA"/>
    <w:rsid w:val="00487403"/>
    <w:rsid w:val="00490979"/>
    <w:rsid w:val="00490AC9"/>
    <w:rsid w:val="0049102A"/>
    <w:rsid w:val="00491107"/>
    <w:rsid w:val="00491A1B"/>
    <w:rsid w:val="00492FB1"/>
    <w:rsid w:val="004941B5"/>
    <w:rsid w:val="004952D8"/>
    <w:rsid w:val="00495567"/>
    <w:rsid w:val="00495F79"/>
    <w:rsid w:val="004976BE"/>
    <w:rsid w:val="004A056D"/>
    <w:rsid w:val="004A08C0"/>
    <w:rsid w:val="004A5068"/>
    <w:rsid w:val="004A54ED"/>
    <w:rsid w:val="004A5B55"/>
    <w:rsid w:val="004A7195"/>
    <w:rsid w:val="004A757C"/>
    <w:rsid w:val="004A7D29"/>
    <w:rsid w:val="004B01CC"/>
    <w:rsid w:val="004B03DD"/>
    <w:rsid w:val="004B09C9"/>
    <w:rsid w:val="004B2A47"/>
    <w:rsid w:val="004B3780"/>
    <w:rsid w:val="004B765E"/>
    <w:rsid w:val="004C074C"/>
    <w:rsid w:val="004C3812"/>
    <w:rsid w:val="004C6C16"/>
    <w:rsid w:val="004D128B"/>
    <w:rsid w:val="004D1FAD"/>
    <w:rsid w:val="004D270B"/>
    <w:rsid w:val="004D30A9"/>
    <w:rsid w:val="004D420A"/>
    <w:rsid w:val="004D47E4"/>
    <w:rsid w:val="004D6D33"/>
    <w:rsid w:val="004D6E55"/>
    <w:rsid w:val="004E0A98"/>
    <w:rsid w:val="004E2D9A"/>
    <w:rsid w:val="004E30DF"/>
    <w:rsid w:val="004E4204"/>
    <w:rsid w:val="004E4453"/>
    <w:rsid w:val="004E5D7C"/>
    <w:rsid w:val="004F3CBC"/>
    <w:rsid w:val="004F5BF4"/>
    <w:rsid w:val="004F5D6F"/>
    <w:rsid w:val="004F622D"/>
    <w:rsid w:val="004F6480"/>
    <w:rsid w:val="004F723D"/>
    <w:rsid w:val="00500C98"/>
    <w:rsid w:val="005033FB"/>
    <w:rsid w:val="0050490C"/>
    <w:rsid w:val="005063DB"/>
    <w:rsid w:val="00507736"/>
    <w:rsid w:val="00507B00"/>
    <w:rsid w:val="00512060"/>
    <w:rsid w:val="005122E3"/>
    <w:rsid w:val="00512506"/>
    <w:rsid w:val="005137B1"/>
    <w:rsid w:val="0051422F"/>
    <w:rsid w:val="00515610"/>
    <w:rsid w:val="005172B1"/>
    <w:rsid w:val="005202AC"/>
    <w:rsid w:val="00520D3B"/>
    <w:rsid w:val="00525D0D"/>
    <w:rsid w:val="00527331"/>
    <w:rsid w:val="005273FD"/>
    <w:rsid w:val="00527ED4"/>
    <w:rsid w:val="005301E7"/>
    <w:rsid w:val="00530515"/>
    <w:rsid w:val="005306AE"/>
    <w:rsid w:val="00531BAB"/>
    <w:rsid w:val="00532255"/>
    <w:rsid w:val="0053280A"/>
    <w:rsid w:val="00536082"/>
    <w:rsid w:val="0053718C"/>
    <w:rsid w:val="00537AF9"/>
    <w:rsid w:val="0054202C"/>
    <w:rsid w:val="00545F56"/>
    <w:rsid w:val="00547D80"/>
    <w:rsid w:val="00550738"/>
    <w:rsid w:val="00551708"/>
    <w:rsid w:val="00553253"/>
    <w:rsid w:val="00553CE2"/>
    <w:rsid w:val="0055654E"/>
    <w:rsid w:val="0056059B"/>
    <w:rsid w:val="00561E3C"/>
    <w:rsid w:val="00562A1A"/>
    <w:rsid w:val="00563CEF"/>
    <w:rsid w:val="00564FEF"/>
    <w:rsid w:val="0056551A"/>
    <w:rsid w:val="005661C8"/>
    <w:rsid w:val="005671D5"/>
    <w:rsid w:val="0056793F"/>
    <w:rsid w:val="00567C81"/>
    <w:rsid w:val="0057033B"/>
    <w:rsid w:val="005708C6"/>
    <w:rsid w:val="00571A41"/>
    <w:rsid w:val="00574320"/>
    <w:rsid w:val="00576FD0"/>
    <w:rsid w:val="005775CE"/>
    <w:rsid w:val="00577C16"/>
    <w:rsid w:val="0058278B"/>
    <w:rsid w:val="0058612C"/>
    <w:rsid w:val="00586C37"/>
    <w:rsid w:val="005879C4"/>
    <w:rsid w:val="00590DAB"/>
    <w:rsid w:val="005935B7"/>
    <w:rsid w:val="005941C8"/>
    <w:rsid w:val="0059576B"/>
    <w:rsid w:val="00595B0F"/>
    <w:rsid w:val="005965B3"/>
    <w:rsid w:val="00597442"/>
    <w:rsid w:val="005A26AE"/>
    <w:rsid w:val="005A2885"/>
    <w:rsid w:val="005A3CDE"/>
    <w:rsid w:val="005A47A2"/>
    <w:rsid w:val="005A58AB"/>
    <w:rsid w:val="005A58F9"/>
    <w:rsid w:val="005A7460"/>
    <w:rsid w:val="005A7583"/>
    <w:rsid w:val="005A7BC9"/>
    <w:rsid w:val="005B1249"/>
    <w:rsid w:val="005B12B9"/>
    <w:rsid w:val="005B136F"/>
    <w:rsid w:val="005B1516"/>
    <w:rsid w:val="005B2136"/>
    <w:rsid w:val="005B2BA3"/>
    <w:rsid w:val="005B3C8B"/>
    <w:rsid w:val="005B3D0A"/>
    <w:rsid w:val="005B4765"/>
    <w:rsid w:val="005B48A1"/>
    <w:rsid w:val="005B5C54"/>
    <w:rsid w:val="005B6960"/>
    <w:rsid w:val="005B7442"/>
    <w:rsid w:val="005B7CEF"/>
    <w:rsid w:val="005C2698"/>
    <w:rsid w:val="005C41B7"/>
    <w:rsid w:val="005C4B93"/>
    <w:rsid w:val="005C57D9"/>
    <w:rsid w:val="005D311A"/>
    <w:rsid w:val="005D4ACC"/>
    <w:rsid w:val="005D524A"/>
    <w:rsid w:val="005D5949"/>
    <w:rsid w:val="005D62F1"/>
    <w:rsid w:val="005D74D6"/>
    <w:rsid w:val="005D750F"/>
    <w:rsid w:val="005E089D"/>
    <w:rsid w:val="005E1C75"/>
    <w:rsid w:val="005E42C6"/>
    <w:rsid w:val="005E5068"/>
    <w:rsid w:val="005E6514"/>
    <w:rsid w:val="005E7E6B"/>
    <w:rsid w:val="005F03CB"/>
    <w:rsid w:val="005F2681"/>
    <w:rsid w:val="005F2737"/>
    <w:rsid w:val="005F31B2"/>
    <w:rsid w:val="005F75E8"/>
    <w:rsid w:val="005F7A14"/>
    <w:rsid w:val="00601E4C"/>
    <w:rsid w:val="00602389"/>
    <w:rsid w:val="00602CC3"/>
    <w:rsid w:val="006046DC"/>
    <w:rsid w:val="00607ABE"/>
    <w:rsid w:val="00607E86"/>
    <w:rsid w:val="0061036A"/>
    <w:rsid w:val="00610F09"/>
    <w:rsid w:val="00611F65"/>
    <w:rsid w:val="00612DE1"/>
    <w:rsid w:val="00612FBB"/>
    <w:rsid w:val="00613843"/>
    <w:rsid w:val="00613C31"/>
    <w:rsid w:val="00615069"/>
    <w:rsid w:val="00615895"/>
    <w:rsid w:val="00615E99"/>
    <w:rsid w:val="00616661"/>
    <w:rsid w:val="00620F9E"/>
    <w:rsid w:val="00622D1B"/>
    <w:rsid w:val="00625323"/>
    <w:rsid w:val="0062716F"/>
    <w:rsid w:val="00632C13"/>
    <w:rsid w:val="006333A2"/>
    <w:rsid w:val="00634AA3"/>
    <w:rsid w:val="00635563"/>
    <w:rsid w:val="00636893"/>
    <w:rsid w:val="00640758"/>
    <w:rsid w:val="00640D87"/>
    <w:rsid w:val="00642157"/>
    <w:rsid w:val="00642C17"/>
    <w:rsid w:val="0064510A"/>
    <w:rsid w:val="0064575E"/>
    <w:rsid w:val="00646863"/>
    <w:rsid w:val="00646C9C"/>
    <w:rsid w:val="00647DF7"/>
    <w:rsid w:val="00650070"/>
    <w:rsid w:val="006504C4"/>
    <w:rsid w:val="00650B59"/>
    <w:rsid w:val="00651244"/>
    <w:rsid w:val="006537B9"/>
    <w:rsid w:val="00653FB7"/>
    <w:rsid w:val="006566F7"/>
    <w:rsid w:val="00660A41"/>
    <w:rsid w:val="00661B75"/>
    <w:rsid w:val="00662304"/>
    <w:rsid w:val="00663C22"/>
    <w:rsid w:val="00665757"/>
    <w:rsid w:val="00665F5A"/>
    <w:rsid w:val="006667C8"/>
    <w:rsid w:val="006700F4"/>
    <w:rsid w:val="0067421B"/>
    <w:rsid w:val="00674787"/>
    <w:rsid w:val="006759CB"/>
    <w:rsid w:val="00676447"/>
    <w:rsid w:val="0067758E"/>
    <w:rsid w:val="006803F3"/>
    <w:rsid w:val="006815B6"/>
    <w:rsid w:val="00681F73"/>
    <w:rsid w:val="00684002"/>
    <w:rsid w:val="00684A34"/>
    <w:rsid w:val="00685CE5"/>
    <w:rsid w:val="00687226"/>
    <w:rsid w:val="006902CB"/>
    <w:rsid w:val="006935CF"/>
    <w:rsid w:val="00693CD2"/>
    <w:rsid w:val="00695207"/>
    <w:rsid w:val="00696223"/>
    <w:rsid w:val="006A08CE"/>
    <w:rsid w:val="006A0A4E"/>
    <w:rsid w:val="006A1200"/>
    <w:rsid w:val="006A14C3"/>
    <w:rsid w:val="006A1BE6"/>
    <w:rsid w:val="006A1CAC"/>
    <w:rsid w:val="006A2E36"/>
    <w:rsid w:val="006A39F5"/>
    <w:rsid w:val="006A40E5"/>
    <w:rsid w:val="006A4116"/>
    <w:rsid w:val="006B1036"/>
    <w:rsid w:val="006B4E4F"/>
    <w:rsid w:val="006B5F6C"/>
    <w:rsid w:val="006B6AD1"/>
    <w:rsid w:val="006B6F9A"/>
    <w:rsid w:val="006B70BB"/>
    <w:rsid w:val="006C2A43"/>
    <w:rsid w:val="006C2B88"/>
    <w:rsid w:val="006C3E3E"/>
    <w:rsid w:val="006C485E"/>
    <w:rsid w:val="006C618D"/>
    <w:rsid w:val="006D056C"/>
    <w:rsid w:val="006D1208"/>
    <w:rsid w:val="006D146E"/>
    <w:rsid w:val="006D15B2"/>
    <w:rsid w:val="006D19EC"/>
    <w:rsid w:val="006D6538"/>
    <w:rsid w:val="006E1174"/>
    <w:rsid w:val="006E2732"/>
    <w:rsid w:val="006E3C1A"/>
    <w:rsid w:val="006E48E2"/>
    <w:rsid w:val="006E4D5C"/>
    <w:rsid w:val="006E7744"/>
    <w:rsid w:val="006F1126"/>
    <w:rsid w:val="006F1551"/>
    <w:rsid w:val="006F231C"/>
    <w:rsid w:val="006F43BA"/>
    <w:rsid w:val="006F44B9"/>
    <w:rsid w:val="006F63AD"/>
    <w:rsid w:val="00700AC9"/>
    <w:rsid w:val="0070288D"/>
    <w:rsid w:val="00702B42"/>
    <w:rsid w:val="00702D9F"/>
    <w:rsid w:val="007038AE"/>
    <w:rsid w:val="00703B6D"/>
    <w:rsid w:val="00704A15"/>
    <w:rsid w:val="00704F5B"/>
    <w:rsid w:val="00705163"/>
    <w:rsid w:val="00706B5A"/>
    <w:rsid w:val="0070710F"/>
    <w:rsid w:val="007114E8"/>
    <w:rsid w:val="00711D61"/>
    <w:rsid w:val="007124D1"/>
    <w:rsid w:val="00714C60"/>
    <w:rsid w:val="00716117"/>
    <w:rsid w:val="00717EAB"/>
    <w:rsid w:val="007240B0"/>
    <w:rsid w:val="00724D21"/>
    <w:rsid w:val="007250C6"/>
    <w:rsid w:val="00726F17"/>
    <w:rsid w:val="00727A2C"/>
    <w:rsid w:val="0073003E"/>
    <w:rsid w:val="00732D6E"/>
    <w:rsid w:val="00733391"/>
    <w:rsid w:val="00735082"/>
    <w:rsid w:val="00737CD1"/>
    <w:rsid w:val="00741A8D"/>
    <w:rsid w:val="0074230D"/>
    <w:rsid w:val="00743B02"/>
    <w:rsid w:val="00752C73"/>
    <w:rsid w:val="00752FF4"/>
    <w:rsid w:val="0075436A"/>
    <w:rsid w:val="00755D6E"/>
    <w:rsid w:val="007566B1"/>
    <w:rsid w:val="0076034C"/>
    <w:rsid w:val="007616D1"/>
    <w:rsid w:val="00764F53"/>
    <w:rsid w:val="007664F8"/>
    <w:rsid w:val="00766E47"/>
    <w:rsid w:val="00767DD0"/>
    <w:rsid w:val="00770378"/>
    <w:rsid w:val="00771085"/>
    <w:rsid w:val="007722B4"/>
    <w:rsid w:val="00772A65"/>
    <w:rsid w:val="00772DC8"/>
    <w:rsid w:val="0077330A"/>
    <w:rsid w:val="007738A0"/>
    <w:rsid w:val="00773954"/>
    <w:rsid w:val="00774DED"/>
    <w:rsid w:val="007765D8"/>
    <w:rsid w:val="00780129"/>
    <w:rsid w:val="00783587"/>
    <w:rsid w:val="0078742F"/>
    <w:rsid w:val="00790740"/>
    <w:rsid w:val="00793B02"/>
    <w:rsid w:val="00793EBD"/>
    <w:rsid w:val="007955F7"/>
    <w:rsid w:val="00795C73"/>
    <w:rsid w:val="00796D52"/>
    <w:rsid w:val="007A06E3"/>
    <w:rsid w:val="007A1C14"/>
    <w:rsid w:val="007A300A"/>
    <w:rsid w:val="007A3165"/>
    <w:rsid w:val="007A4BCF"/>
    <w:rsid w:val="007A5197"/>
    <w:rsid w:val="007A690B"/>
    <w:rsid w:val="007A7555"/>
    <w:rsid w:val="007B0D78"/>
    <w:rsid w:val="007B27AA"/>
    <w:rsid w:val="007B3AA5"/>
    <w:rsid w:val="007B3ABD"/>
    <w:rsid w:val="007B45CD"/>
    <w:rsid w:val="007B65B5"/>
    <w:rsid w:val="007B7E23"/>
    <w:rsid w:val="007C0993"/>
    <w:rsid w:val="007C0E59"/>
    <w:rsid w:val="007C1326"/>
    <w:rsid w:val="007C405D"/>
    <w:rsid w:val="007C7631"/>
    <w:rsid w:val="007C7B78"/>
    <w:rsid w:val="007D11F4"/>
    <w:rsid w:val="007D1336"/>
    <w:rsid w:val="007D22B4"/>
    <w:rsid w:val="007D4440"/>
    <w:rsid w:val="007D4951"/>
    <w:rsid w:val="007D4D0A"/>
    <w:rsid w:val="007D52EC"/>
    <w:rsid w:val="007D54E5"/>
    <w:rsid w:val="007D55A4"/>
    <w:rsid w:val="007D5818"/>
    <w:rsid w:val="007D666D"/>
    <w:rsid w:val="007D7301"/>
    <w:rsid w:val="007E2FD8"/>
    <w:rsid w:val="007E3883"/>
    <w:rsid w:val="007E5AB7"/>
    <w:rsid w:val="007E6E22"/>
    <w:rsid w:val="007F225B"/>
    <w:rsid w:val="007F3550"/>
    <w:rsid w:val="007F59FD"/>
    <w:rsid w:val="007F625E"/>
    <w:rsid w:val="007F6F1D"/>
    <w:rsid w:val="007F7D8F"/>
    <w:rsid w:val="008043A0"/>
    <w:rsid w:val="008054A4"/>
    <w:rsid w:val="00814207"/>
    <w:rsid w:val="00816232"/>
    <w:rsid w:val="00816315"/>
    <w:rsid w:val="00817DA3"/>
    <w:rsid w:val="00820F9B"/>
    <w:rsid w:val="00821ECD"/>
    <w:rsid w:val="00823FA3"/>
    <w:rsid w:val="008242AD"/>
    <w:rsid w:val="00824407"/>
    <w:rsid w:val="00826252"/>
    <w:rsid w:val="00826514"/>
    <w:rsid w:val="00831CA3"/>
    <w:rsid w:val="008321D7"/>
    <w:rsid w:val="008330EB"/>
    <w:rsid w:val="00833CE2"/>
    <w:rsid w:val="008371AB"/>
    <w:rsid w:val="00840C2E"/>
    <w:rsid w:val="00841D88"/>
    <w:rsid w:val="008420E2"/>
    <w:rsid w:val="0084212F"/>
    <w:rsid w:val="008446E1"/>
    <w:rsid w:val="00846767"/>
    <w:rsid w:val="00846AFC"/>
    <w:rsid w:val="0085288D"/>
    <w:rsid w:val="0085325E"/>
    <w:rsid w:val="0085339F"/>
    <w:rsid w:val="00854144"/>
    <w:rsid w:val="00854E8B"/>
    <w:rsid w:val="008570BB"/>
    <w:rsid w:val="008616AE"/>
    <w:rsid w:val="00861DF2"/>
    <w:rsid w:val="00861EF0"/>
    <w:rsid w:val="0086295B"/>
    <w:rsid w:val="00863CFA"/>
    <w:rsid w:val="00863F91"/>
    <w:rsid w:val="008644F3"/>
    <w:rsid w:val="00866DBF"/>
    <w:rsid w:val="00870149"/>
    <w:rsid w:val="00870150"/>
    <w:rsid w:val="00870DD9"/>
    <w:rsid w:val="00872599"/>
    <w:rsid w:val="00872662"/>
    <w:rsid w:val="00872A8D"/>
    <w:rsid w:val="00872D79"/>
    <w:rsid w:val="0087332A"/>
    <w:rsid w:val="0087378E"/>
    <w:rsid w:val="008745D4"/>
    <w:rsid w:val="00874CCE"/>
    <w:rsid w:val="0087649E"/>
    <w:rsid w:val="00876B31"/>
    <w:rsid w:val="00877809"/>
    <w:rsid w:val="008819DA"/>
    <w:rsid w:val="00881A2F"/>
    <w:rsid w:val="00881E37"/>
    <w:rsid w:val="00882786"/>
    <w:rsid w:val="0088342B"/>
    <w:rsid w:val="00883DA3"/>
    <w:rsid w:val="00884902"/>
    <w:rsid w:val="00885651"/>
    <w:rsid w:val="008914F3"/>
    <w:rsid w:val="008924D3"/>
    <w:rsid w:val="00892C20"/>
    <w:rsid w:val="00892D99"/>
    <w:rsid w:val="00892DC0"/>
    <w:rsid w:val="00893B4C"/>
    <w:rsid w:val="00896804"/>
    <w:rsid w:val="008A1DE9"/>
    <w:rsid w:val="008A337B"/>
    <w:rsid w:val="008A39F2"/>
    <w:rsid w:val="008A3F77"/>
    <w:rsid w:val="008B15C8"/>
    <w:rsid w:val="008B1740"/>
    <w:rsid w:val="008B1AF0"/>
    <w:rsid w:val="008B2A39"/>
    <w:rsid w:val="008B328E"/>
    <w:rsid w:val="008B3CE1"/>
    <w:rsid w:val="008B4BC1"/>
    <w:rsid w:val="008B5FE1"/>
    <w:rsid w:val="008B64BB"/>
    <w:rsid w:val="008C0797"/>
    <w:rsid w:val="008C1FBA"/>
    <w:rsid w:val="008C27C0"/>
    <w:rsid w:val="008C31A9"/>
    <w:rsid w:val="008C49DE"/>
    <w:rsid w:val="008C5572"/>
    <w:rsid w:val="008C571B"/>
    <w:rsid w:val="008C5B6B"/>
    <w:rsid w:val="008C5EF2"/>
    <w:rsid w:val="008C7DED"/>
    <w:rsid w:val="008D2D05"/>
    <w:rsid w:val="008D38D7"/>
    <w:rsid w:val="008D5510"/>
    <w:rsid w:val="008D7792"/>
    <w:rsid w:val="008E2F66"/>
    <w:rsid w:val="008E4235"/>
    <w:rsid w:val="008E6F71"/>
    <w:rsid w:val="008E746D"/>
    <w:rsid w:val="008F062A"/>
    <w:rsid w:val="008F2C2B"/>
    <w:rsid w:val="008F3BC3"/>
    <w:rsid w:val="008F44A7"/>
    <w:rsid w:val="008F5ACB"/>
    <w:rsid w:val="008F757F"/>
    <w:rsid w:val="00900EF7"/>
    <w:rsid w:val="00903253"/>
    <w:rsid w:val="00904554"/>
    <w:rsid w:val="00906DE2"/>
    <w:rsid w:val="00911857"/>
    <w:rsid w:val="0091240A"/>
    <w:rsid w:val="00913C02"/>
    <w:rsid w:val="00914C30"/>
    <w:rsid w:val="00915AAF"/>
    <w:rsid w:val="00915E0D"/>
    <w:rsid w:val="009179F0"/>
    <w:rsid w:val="00920054"/>
    <w:rsid w:val="00920309"/>
    <w:rsid w:val="009223C1"/>
    <w:rsid w:val="0092495D"/>
    <w:rsid w:val="00925ED6"/>
    <w:rsid w:val="00926F33"/>
    <w:rsid w:val="00927464"/>
    <w:rsid w:val="009310AD"/>
    <w:rsid w:val="00932A0C"/>
    <w:rsid w:val="00933268"/>
    <w:rsid w:val="00936351"/>
    <w:rsid w:val="00937507"/>
    <w:rsid w:val="00940B93"/>
    <w:rsid w:val="009415A6"/>
    <w:rsid w:val="0094329C"/>
    <w:rsid w:val="00946EA5"/>
    <w:rsid w:val="00950D11"/>
    <w:rsid w:val="0095100C"/>
    <w:rsid w:val="0095171C"/>
    <w:rsid w:val="0095171F"/>
    <w:rsid w:val="00953333"/>
    <w:rsid w:val="009545A4"/>
    <w:rsid w:val="00954C8A"/>
    <w:rsid w:val="0095581A"/>
    <w:rsid w:val="009566B7"/>
    <w:rsid w:val="0095771D"/>
    <w:rsid w:val="00960666"/>
    <w:rsid w:val="009608ED"/>
    <w:rsid w:val="00961C28"/>
    <w:rsid w:val="009634EA"/>
    <w:rsid w:val="00963C64"/>
    <w:rsid w:val="00963DE4"/>
    <w:rsid w:val="0096424D"/>
    <w:rsid w:val="009643AC"/>
    <w:rsid w:val="009645B6"/>
    <w:rsid w:val="00964C95"/>
    <w:rsid w:val="00964F05"/>
    <w:rsid w:val="00966E43"/>
    <w:rsid w:val="0097047B"/>
    <w:rsid w:val="00970E04"/>
    <w:rsid w:val="00973DD9"/>
    <w:rsid w:val="00974DCC"/>
    <w:rsid w:val="0097637E"/>
    <w:rsid w:val="00977277"/>
    <w:rsid w:val="00977D05"/>
    <w:rsid w:val="009800E3"/>
    <w:rsid w:val="00983CB0"/>
    <w:rsid w:val="00983E04"/>
    <w:rsid w:val="00983FCA"/>
    <w:rsid w:val="00986205"/>
    <w:rsid w:val="00986351"/>
    <w:rsid w:val="009869C5"/>
    <w:rsid w:val="0098774E"/>
    <w:rsid w:val="00987A84"/>
    <w:rsid w:val="0099139E"/>
    <w:rsid w:val="0099185B"/>
    <w:rsid w:val="00991D40"/>
    <w:rsid w:val="00991F8E"/>
    <w:rsid w:val="00992727"/>
    <w:rsid w:val="00993083"/>
    <w:rsid w:val="0099417C"/>
    <w:rsid w:val="0099797C"/>
    <w:rsid w:val="009A0D3E"/>
    <w:rsid w:val="009A3E28"/>
    <w:rsid w:val="009A5BF6"/>
    <w:rsid w:val="009A5F57"/>
    <w:rsid w:val="009A637F"/>
    <w:rsid w:val="009A7F36"/>
    <w:rsid w:val="009B002B"/>
    <w:rsid w:val="009B3065"/>
    <w:rsid w:val="009B36AB"/>
    <w:rsid w:val="009B37CF"/>
    <w:rsid w:val="009B4CF9"/>
    <w:rsid w:val="009B6EBA"/>
    <w:rsid w:val="009C20A3"/>
    <w:rsid w:val="009C22E0"/>
    <w:rsid w:val="009C262F"/>
    <w:rsid w:val="009C2F40"/>
    <w:rsid w:val="009C39BD"/>
    <w:rsid w:val="009C3BA2"/>
    <w:rsid w:val="009C4DDD"/>
    <w:rsid w:val="009C5249"/>
    <w:rsid w:val="009C599B"/>
    <w:rsid w:val="009C7F3A"/>
    <w:rsid w:val="009D06F8"/>
    <w:rsid w:val="009D66FB"/>
    <w:rsid w:val="009D6AB0"/>
    <w:rsid w:val="009D6F44"/>
    <w:rsid w:val="009D71CE"/>
    <w:rsid w:val="009D73B3"/>
    <w:rsid w:val="009E19F9"/>
    <w:rsid w:val="009E1A05"/>
    <w:rsid w:val="009E33FA"/>
    <w:rsid w:val="009E4BA5"/>
    <w:rsid w:val="009E556E"/>
    <w:rsid w:val="009E6072"/>
    <w:rsid w:val="009E72CB"/>
    <w:rsid w:val="009F1F31"/>
    <w:rsid w:val="009F4C4D"/>
    <w:rsid w:val="009F5F40"/>
    <w:rsid w:val="009F6D1D"/>
    <w:rsid w:val="009F7C54"/>
    <w:rsid w:val="00A008A4"/>
    <w:rsid w:val="00A03CE8"/>
    <w:rsid w:val="00A1075D"/>
    <w:rsid w:val="00A1076F"/>
    <w:rsid w:val="00A10825"/>
    <w:rsid w:val="00A12518"/>
    <w:rsid w:val="00A132CD"/>
    <w:rsid w:val="00A134AB"/>
    <w:rsid w:val="00A16171"/>
    <w:rsid w:val="00A201C1"/>
    <w:rsid w:val="00A24183"/>
    <w:rsid w:val="00A241C2"/>
    <w:rsid w:val="00A2486A"/>
    <w:rsid w:val="00A26394"/>
    <w:rsid w:val="00A2747C"/>
    <w:rsid w:val="00A3481D"/>
    <w:rsid w:val="00A41698"/>
    <w:rsid w:val="00A41C99"/>
    <w:rsid w:val="00A44DEF"/>
    <w:rsid w:val="00A4500D"/>
    <w:rsid w:val="00A45D4A"/>
    <w:rsid w:val="00A47521"/>
    <w:rsid w:val="00A47D27"/>
    <w:rsid w:val="00A5019F"/>
    <w:rsid w:val="00A53529"/>
    <w:rsid w:val="00A54369"/>
    <w:rsid w:val="00A55B0C"/>
    <w:rsid w:val="00A569C0"/>
    <w:rsid w:val="00A60547"/>
    <w:rsid w:val="00A62BA4"/>
    <w:rsid w:val="00A706C9"/>
    <w:rsid w:val="00A7074A"/>
    <w:rsid w:val="00A72C98"/>
    <w:rsid w:val="00A7314C"/>
    <w:rsid w:val="00A75AA2"/>
    <w:rsid w:val="00A76EBC"/>
    <w:rsid w:val="00A802AD"/>
    <w:rsid w:val="00A81020"/>
    <w:rsid w:val="00A816DE"/>
    <w:rsid w:val="00A81C5D"/>
    <w:rsid w:val="00A81EA3"/>
    <w:rsid w:val="00A82EE7"/>
    <w:rsid w:val="00A83097"/>
    <w:rsid w:val="00A83840"/>
    <w:rsid w:val="00A83965"/>
    <w:rsid w:val="00A900C7"/>
    <w:rsid w:val="00A920E0"/>
    <w:rsid w:val="00A9244F"/>
    <w:rsid w:val="00A95AE9"/>
    <w:rsid w:val="00A97B44"/>
    <w:rsid w:val="00AA0B9F"/>
    <w:rsid w:val="00AA59CC"/>
    <w:rsid w:val="00AA5E5F"/>
    <w:rsid w:val="00AA6EE1"/>
    <w:rsid w:val="00AA76E1"/>
    <w:rsid w:val="00AA7C86"/>
    <w:rsid w:val="00AB109E"/>
    <w:rsid w:val="00AB347B"/>
    <w:rsid w:val="00AB429A"/>
    <w:rsid w:val="00AB59E1"/>
    <w:rsid w:val="00AB73D3"/>
    <w:rsid w:val="00AC12D9"/>
    <w:rsid w:val="00AC2616"/>
    <w:rsid w:val="00AC2853"/>
    <w:rsid w:val="00AC3A15"/>
    <w:rsid w:val="00AC7D24"/>
    <w:rsid w:val="00AD124E"/>
    <w:rsid w:val="00AD1551"/>
    <w:rsid w:val="00AD2DC9"/>
    <w:rsid w:val="00AD3EBC"/>
    <w:rsid w:val="00AD409A"/>
    <w:rsid w:val="00AD43DE"/>
    <w:rsid w:val="00AD44D9"/>
    <w:rsid w:val="00AD44F0"/>
    <w:rsid w:val="00AD54E2"/>
    <w:rsid w:val="00AD76AD"/>
    <w:rsid w:val="00AE23E5"/>
    <w:rsid w:val="00AE2FBA"/>
    <w:rsid w:val="00AE312C"/>
    <w:rsid w:val="00AE3436"/>
    <w:rsid w:val="00AE535B"/>
    <w:rsid w:val="00AE5623"/>
    <w:rsid w:val="00AE6098"/>
    <w:rsid w:val="00AE6BC9"/>
    <w:rsid w:val="00AE70C3"/>
    <w:rsid w:val="00AE79CB"/>
    <w:rsid w:val="00AF2181"/>
    <w:rsid w:val="00AF260B"/>
    <w:rsid w:val="00AF450E"/>
    <w:rsid w:val="00AF47E8"/>
    <w:rsid w:val="00AF7564"/>
    <w:rsid w:val="00AF7D40"/>
    <w:rsid w:val="00B000F8"/>
    <w:rsid w:val="00B00434"/>
    <w:rsid w:val="00B01696"/>
    <w:rsid w:val="00B02EA5"/>
    <w:rsid w:val="00B03B9F"/>
    <w:rsid w:val="00B04A15"/>
    <w:rsid w:val="00B11A38"/>
    <w:rsid w:val="00B11EBD"/>
    <w:rsid w:val="00B11F0E"/>
    <w:rsid w:val="00B12120"/>
    <w:rsid w:val="00B134B4"/>
    <w:rsid w:val="00B15929"/>
    <w:rsid w:val="00B177D7"/>
    <w:rsid w:val="00B1780F"/>
    <w:rsid w:val="00B20EBD"/>
    <w:rsid w:val="00B23E80"/>
    <w:rsid w:val="00B250D0"/>
    <w:rsid w:val="00B267A3"/>
    <w:rsid w:val="00B2733B"/>
    <w:rsid w:val="00B27CAA"/>
    <w:rsid w:val="00B27DF9"/>
    <w:rsid w:val="00B3193F"/>
    <w:rsid w:val="00B3569C"/>
    <w:rsid w:val="00B36227"/>
    <w:rsid w:val="00B368F5"/>
    <w:rsid w:val="00B36A14"/>
    <w:rsid w:val="00B416B6"/>
    <w:rsid w:val="00B43423"/>
    <w:rsid w:val="00B43849"/>
    <w:rsid w:val="00B43F9F"/>
    <w:rsid w:val="00B45282"/>
    <w:rsid w:val="00B45F83"/>
    <w:rsid w:val="00B476CA"/>
    <w:rsid w:val="00B51465"/>
    <w:rsid w:val="00B529F5"/>
    <w:rsid w:val="00B52B71"/>
    <w:rsid w:val="00B53195"/>
    <w:rsid w:val="00B542DF"/>
    <w:rsid w:val="00B54EA4"/>
    <w:rsid w:val="00B60911"/>
    <w:rsid w:val="00B60F28"/>
    <w:rsid w:val="00B65711"/>
    <w:rsid w:val="00B675B1"/>
    <w:rsid w:val="00B6768F"/>
    <w:rsid w:val="00B67BD9"/>
    <w:rsid w:val="00B67D46"/>
    <w:rsid w:val="00B67E3E"/>
    <w:rsid w:val="00B70AD4"/>
    <w:rsid w:val="00B762DA"/>
    <w:rsid w:val="00B80448"/>
    <w:rsid w:val="00B80C60"/>
    <w:rsid w:val="00B83A11"/>
    <w:rsid w:val="00B859C4"/>
    <w:rsid w:val="00B863A6"/>
    <w:rsid w:val="00B87276"/>
    <w:rsid w:val="00B87618"/>
    <w:rsid w:val="00B87F12"/>
    <w:rsid w:val="00B91D3A"/>
    <w:rsid w:val="00B94B25"/>
    <w:rsid w:val="00B95304"/>
    <w:rsid w:val="00B95E2A"/>
    <w:rsid w:val="00B95FB5"/>
    <w:rsid w:val="00B979FC"/>
    <w:rsid w:val="00BA1409"/>
    <w:rsid w:val="00BA35A4"/>
    <w:rsid w:val="00BA3FD6"/>
    <w:rsid w:val="00BA4A07"/>
    <w:rsid w:val="00BA4ABD"/>
    <w:rsid w:val="00BA596C"/>
    <w:rsid w:val="00BB043F"/>
    <w:rsid w:val="00BB56BB"/>
    <w:rsid w:val="00BB585E"/>
    <w:rsid w:val="00BB5AD5"/>
    <w:rsid w:val="00BB7C63"/>
    <w:rsid w:val="00BC10D2"/>
    <w:rsid w:val="00BC4B8E"/>
    <w:rsid w:val="00BC59A4"/>
    <w:rsid w:val="00BC6BA7"/>
    <w:rsid w:val="00BC6D8D"/>
    <w:rsid w:val="00BC71FE"/>
    <w:rsid w:val="00BD1CCA"/>
    <w:rsid w:val="00BD256D"/>
    <w:rsid w:val="00BD34EB"/>
    <w:rsid w:val="00BD452D"/>
    <w:rsid w:val="00BD4B50"/>
    <w:rsid w:val="00BD5174"/>
    <w:rsid w:val="00BD5989"/>
    <w:rsid w:val="00BE4DFA"/>
    <w:rsid w:val="00BE4FF3"/>
    <w:rsid w:val="00BE6F2E"/>
    <w:rsid w:val="00BF0372"/>
    <w:rsid w:val="00BF1192"/>
    <w:rsid w:val="00BF1FD6"/>
    <w:rsid w:val="00BF2A33"/>
    <w:rsid w:val="00BF6177"/>
    <w:rsid w:val="00C00B4D"/>
    <w:rsid w:val="00C01140"/>
    <w:rsid w:val="00C013AC"/>
    <w:rsid w:val="00C01E4A"/>
    <w:rsid w:val="00C020E8"/>
    <w:rsid w:val="00C02925"/>
    <w:rsid w:val="00C046FE"/>
    <w:rsid w:val="00C04A6E"/>
    <w:rsid w:val="00C056F7"/>
    <w:rsid w:val="00C13097"/>
    <w:rsid w:val="00C13475"/>
    <w:rsid w:val="00C1441E"/>
    <w:rsid w:val="00C1644A"/>
    <w:rsid w:val="00C16BDD"/>
    <w:rsid w:val="00C17259"/>
    <w:rsid w:val="00C17E92"/>
    <w:rsid w:val="00C17EE4"/>
    <w:rsid w:val="00C2287E"/>
    <w:rsid w:val="00C26C64"/>
    <w:rsid w:val="00C27F50"/>
    <w:rsid w:val="00C31017"/>
    <w:rsid w:val="00C31CAE"/>
    <w:rsid w:val="00C325ED"/>
    <w:rsid w:val="00C3318F"/>
    <w:rsid w:val="00C33FBA"/>
    <w:rsid w:val="00C36325"/>
    <w:rsid w:val="00C36D11"/>
    <w:rsid w:val="00C36FE7"/>
    <w:rsid w:val="00C42247"/>
    <w:rsid w:val="00C4283A"/>
    <w:rsid w:val="00C44966"/>
    <w:rsid w:val="00C45461"/>
    <w:rsid w:val="00C45C62"/>
    <w:rsid w:val="00C47DF3"/>
    <w:rsid w:val="00C51918"/>
    <w:rsid w:val="00C555A8"/>
    <w:rsid w:val="00C60607"/>
    <w:rsid w:val="00C6069E"/>
    <w:rsid w:val="00C6101F"/>
    <w:rsid w:val="00C65D59"/>
    <w:rsid w:val="00C67D4D"/>
    <w:rsid w:val="00C70297"/>
    <w:rsid w:val="00C70D28"/>
    <w:rsid w:val="00C71BED"/>
    <w:rsid w:val="00C73B6F"/>
    <w:rsid w:val="00C73F43"/>
    <w:rsid w:val="00C76ACC"/>
    <w:rsid w:val="00C80C0C"/>
    <w:rsid w:val="00C82CDC"/>
    <w:rsid w:val="00C84798"/>
    <w:rsid w:val="00C84A7F"/>
    <w:rsid w:val="00C85696"/>
    <w:rsid w:val="00C86059"/>
    <w:rsid w:val="00C91414"/>
    <w:rsid w:val="00C91684"/>
    <w:rsid w:val="00C91881"/>
    <w:rsid w:val="00C918DA"/>
    <w:rsid w:val="00C92A7D"/>
    <w:rsid w:val="00C933A9"/>
    <w:rsid w:val="00C960AA"/>
    <w:rsid w:val="00CA04F1"/>
    <w:rsid w:val="00CA1E58"/>
    <w:rsid w:val="00CA2378"/>
    <w:rsid w:val="00CA3352"/>
    <w:rsid w:val="00CA4446"/>
    <w:rsid w:val="00CA7B3D"/>
    <w:rsid w:val="00CA7DF9"/>
    <w:rsid w:val="00CB18E0"/>
    <w:rsid w:val="00CB2223"/>
    <w:rsid w:val="00CB2AA8"/>
    <w:rsid w:val="00CB374D"/>
    <w:rsid w:val="00CB4DCA"/>
    <w:rsid w:val="00CB7F58"/>
    <w:rsid w:val="00CC1556"/>
    <w:rsid w:val="00CC4085"/>
    <w:rsid w:val="00CC4CB2"/>
    <w:rsid w:val="00CC521F"/>
    <w:rsid w:val="00CC63C9"/>
    <w:rsid w:val="00CC6F3A"/>
    <w:rsid w:val="00CC7FEF"/>
    <w:rsid w:val="00CD3516"/>
    <w:rsid w:val="00CD4C08"/>
    <w:rsid w:val="00CD7A09"/>
    <w:rsid w:val="00CE0A5E"/>
    <w:rsid w:val="00CE0EC7"/>
    <w:rsid w:val="00CE1354"/>
    <w:rsid w:val="00CE7C98"/>
    <w:rsid w:val="00CF0A10"/>
    <w:rsid w:val="00CF0F2B"/>
    <w:rsid w:val="00CF1397"/>
    <w:rsid w:val="00CF4C70"/>
    <w:rsid w:val="00CF648D"/>
    <w:rsid w:val="00CF656F"/>
    <w:rsid w:val="00CF68D1"/>
    <w:rsid w:val="00CF6947"/>
    <w:rsid w:val="00CF6B6E"/>
    <w:rsid w:val="00CF6C6E"/>
    <w:rsid w:val="00CF6DB7"/>
    <w:rsid w:val="00CF6F42"/>
    <w:rsid w:val="00CF75AB"/>
    <w:rsid w:val="00D01B20"/>
    <w:rsid w:val="00D03E49"/>
    <w:rsid w:val="00D05426"/>
    <w:rsid w:val="00D05928"/>
    <w:rsid w:val="00D10CA7"/>
    <w:rsid w:val="00D11881"/>
    <w:rsid w:val="00D11C85"/>
    <w:rsid w:val="00D11F74"/>
    <w:rsid w:val="00D133D2"/>
    <w:rsid w:val="00D14AA3"/>
    <w:rsid w:val="00D1518D"/>
    <w:rsid w:val="00D15F34"/>
    <w:rsid w:val="00D165B4"/>
    <w:rsid w:val="00D17097"/>
    <w:rsid w:val="00D24300"/>
    <w:rsid w:val="00D24690"/>
    <w:rsid w:val="00D273B3"/>
    <w:rsid w:val="00D3029E"/>
    <w:rsid w:val="00D311BE"/>
    <w:rsid w:val="00D3202B"/>
    <w:rsid w:val="00D33C07"/>
    <w:rsid w:val="00D3476C"/>
    <w:rsid w:val="00D36694"/>
    <w:rsid w:val="00D3753F"/>
    <w:rsid w:val="00D40EB7"/>
    <w:rsid w:val="00D44794"/>
    <w:rsid w:val="00D46614"/>
    <w:rsid w:val="00D51452"/>
    <w:rsid w:val="00D51862"/>
    <w:rsid w:val="00D52BA0"/>
    <w:rsid w:val="00D53D82"/>
    <w:rsid w:val="00D56C7B"/>
    <w:rsid w:val="00D602D1"/>
    <w:rsid w:val="00D60EF3"/>
    <w:rsid w:val="00D60F6D"/>
    <w:rsid w:val="00D61B7B"/>
    <w:rsid w:val="00D61C8F"/>
    <w:rsid w:val="00D61EC1"/>
    <w:rsid w:val="00D61FE2"/>
    <w:rsid w:val="00D623D4"/>
    <w:rsid w:val="00D6307B"/>
    <w:rsid w:val="00D6559A"/>
    <w:rsid w:val="00D65714"/>
    <w:rsid w:val="00D6580E"/>
    <w:rsid w:val="00D71610"/>
    <w:rsid w:val="00D71D1B"/>
    <w:rsid w:val="00D72E7D"/>
    <w:rsid w:val="00D73017"/>
    <w:rsid w:val="00D74BBD"/>
    <w:rsid w:val="00D83428"/>
    <w:rsid w:val="00D83DB5"/>
    <w:rsid w:val="00D84B7D"/>
    <w:rsid w:val="00D8515A"/>
    <w:rsid w:val="00D85A84"/>
    <w:rsid w:val="00D867A2"/>
    <w:rsid w:val="00D87158"/>
    <w:rsid w:val="00D94D27"/>
    <w:rsid w:val="00D96A4E"/>
    <w:rsid w:val="00D97049"/>
    <w:rsid w:val="00DA08C8"/>
    <w:rsid w:val="00DA1636"/>
    <w:rsid w:val="00DA1984"/>
    <w:rsid w:val="00DA2C5A"/>
    <w:rsid w:val="00DA5E12"/>
    <w:rsid w:val="00DA6ADD"/>
    <w:rsid w:val="00DA72F4"/>
    <w:rsid w:val="00DB3906"/>
    <w:rsid w:val="00DB3C8D"/>
    <w:rsid w:val="00DB4997"/>
    <w:rsid w:val="00DB58FA"/>
    <w:rsid w:val="00DB6CB0"/>
    <w:rsid w:val="00DB7126"/>
    <w:rsid w:val="00DC0133"/>
    <w:rsid w:val="00DC04ED"/>
    <w:rsid w:val="00DC1ECE"/>
    <w:rsid w:val="00DC2CFF"/>
    <w:rsid w:val="00DC4A5D"/>
    <w:rsid w:val="00DC6018"/>
    <w:rsid w:val="00DC7D07"/>
    <w:rsid w:val="00DC7F43"/>
    <w:rsid w:val="00DD3036"/>
    <w:rsid w:val="00DD38C1"/>
    <w:rsid w:val="00DD3B1B"/>
    <w:rsid w:val="00DD6C22"/>
    <w:rsid w:val="00DD7B54"/>
    <w:rsid w:val="00DE036C"/>
    <w:rsid w:val="00DE1330"/>
    <w:rsid w:val="00DE184C"/>
    <w:rsid w:val="00DF0A45"/>
    <w:rsid w:val="00DF0B59"/>
    <w:rsid w:val="00DF0C17"/>
    <w:rsid w:val="00DF1C2C"/>
    <w:rsid w:val="00DF1DB0"/>
    <w:rsid w:val="00DF1E18"/>
    <w:rsid w:val="00DF27C6"/>
    <w:rsid w:val="00DF2D7E"/>
    <w:rsid w:val="00DF373C"/>
    <w:rsid w:val="00DF46AD"/>
    <w:rsid w:val="00DF5BE6"/>
    <w:rsid w:val="00DF7009"/>
    <w:rsid w:val="00DF7F26"/>
    <w:rsid w:val="00E00160"/>
    <w:rsid w:val="00E0094C"/>
    <w:rsid w:val="00E00EAF"/>
    <w:rsid w:val="00E019C4"/>
    <w:rsid w:val="00E02C8B"/>
    <w:rsid w:val="00E0334C"/>
    <w:rsid w:val="00E03D89"/>
    <w:rsid w:val="00E05BB8"/>
    <w:rsid w:val="00E06E4D"/>
    <w:rsid w:val="00E075F0"/>
    <w:rsid w:val="00E12466"/>
    <w:rsid w:val="00E12789"/>
    <w:rsid w:val="00E16F22"/>
    <w:rsid w:val="00E17252"/>
    <w:rsid w:val="00E1793A"/>
    <w:rsid w:val="00E203B2"/>
    <w:rsid w:val="00E20CF1"/>
    <w:rsid w:val="00E20F7C"/>
    <w:rsid w:val="00E21815"/>
    <w:rsid w:val="00E231C3"/>
    <w:rsid w:val="00E241CB"/>
    <w:rsid w:val="00E26CF0"/>
    <w:rsid w:val="00E27524"/>
    <w:rsid w:val="00E27894"/>
    <w:rsid w:val="00E27AB6"/>
    <w:rsid w:val="00E30774"/>
    <w:rsid w:val="00E346F3"/>
    <w:rsid w:val="00E40D92"/>
    <w:rsid w:val="00E4296F"/>
    <w:rsid w:val="00E43027"/>
    <w:rsid w:val="00E44909"/>
    <w:rsid w:val="00E4556D"/>
    <w:rsid w:val="00E463C7"/>
    <w:rsid w:val="00E477A9"/>
    <w:rsid w:val="00E47DE5"/>
    <w:rsid w:val="00E47F04"/>
    <w:rsid w:val="00E507AD"/>
    <w:rsid w:val="00E541D7"/>
    <w:rsid w:val="00E5426C"/>
    <w:rsid w:val="00E55BAA"/>
    <w:rsid w:val="00E57C1F"/>
    <w:rsid w:val="00E64012"/>
    <w:rsid w:val="00E64147"/>
    <w:rsid w:val="00E66477"/>
    <w:rsid w:val="00E67E11"/>
    <w:rsid w:val="00E715B5"/>
    <w:rsid w:val="00E71B34"/>
    <w:rsid w:val="00E747A3"/>
    <w:rsid w:val="00E74BA7"/>
    <w:rsid w:val="00E77BE4"/>
    <w:rsid w:val="00E81E10"/>
    <w:rsid w:val="00E83D3D"/>
    <w:rsid w:val="00E84067"/>
    <w:rsid w:val="00E847C6"/>
    <w:rsid w:val="00E84AA1"/>
    <w:rsid w:val="00E850B2"/>
    <w:rsid w:val="00E867BE"/>
    <w:rsid w:val="00E87344"/>
    <w:rsid w:val="00E87F4D"/>
    <w:rsid w:val="00E909B8"/>
    <w:rsid w:val="00E90D27"/>
    <w:rsid w:val="00E938F3"/>
    <w:rsid w:val="00E9465B"/>
    <w:rsid w:val="00E965BA"/>
    <w:rsid w:val="00E96DA4"/>
    <w:rsid w:val="00EA0740"/>
    <w:rsid w:val="00EA1756"/>
    <w:rsid w:val="00EA3581"/>
    <w:rsid w:val="00EA3A79"/>
    <w:rsid w:val="00EA4B62"/>
    <w:rsid w:val="00EA66F0"/>
    <w:rsid w:val="00EB48C5"/>
    <w:rsid w:val="00EB4988"/>
    <w:rsid w:val="00EB5DEC"/>
    <w:rsid w:val="00EC0B16"/>
    <w:rsid w:val="00EC33FD"/>
    <w:rsid w:val="00EC5D76"/>
    <w:rsid w:val="00EC7E75"/>
    <w:rsid w:val="00ED2224"/>
    <w:rsid w:val="00ED2B80"/>
    <w:rsid w:val="00ED3AA8"/>
    <w:rsid w:val="00ED5574"/>
    <w:rsid w:val="00ED7900"/>
    <w:rsid w:val="00EE1004"/>
    <w:rsid w:val="00EE146C"/>
    <w:rsid w:val="00EE1FD0"/>
    <w:rsid w:val="00EE2474"/>
    <w:rsid w:val="00EE29DE"/>
    <w:rsid w:val="00EE2A04"/>
    <w:rsid w:val="00EE308F"/>
    <w:rsid w:val="00EE316D"/>
    <w:rsid w:val="00EE5D30"/>
    <w:rsid w:val="00EE7D35"/>
    <w:rsid w:val="00EF108F"/>
    <w:rsid w:val="00EF3032"/>
    <w:rsid w:val="00EF3C4C"/>
    <w:rsid w:val="00EF3C58"/>
    <w:rsid w:val="00EF55D4"/>
    <w:rsid w:val="00EF57E0"/>
    <w:rsid w:val="00EF78B0"/>
    <w:rsid w:val="00F01CAE"/>
    <w:rsid w:val="00F01E5D"/>
    <w:rsid w:val="00F03A59"/>
    <w:rsid w:val="00F0415A"/>
    <w:rsid w:val="00F04C43"/>
    <w:rsid w:val="00F0556C"/>
    <w:rsid w:val="00F057A8"/>
    <w:rsid w:val="00F11351"/>
    <w:rsid w:val="00F14B0C"/>
    <w:rsid w:val="00F1524C"/>
    <w:rsid w:val="00F15309"/>
    <w:rsid w:val="00F16DD2"/>
    <w:rsid w:val="00F16F3D"/>
    <w:rsid w:val="00F17779"/>
    <w:rsid w:val="00F21066"/>
    <w:rsid w:val="00F21CCB"/>
    <w:rsid w:val="00F21D87"/>
    <w:rsid w:val="00F26C3E"/>
    <w:rsid w:val="00F2736E"/>
    <w:rsid w:val="00F274CB"/>
    <w:rsid w:val="00F32FF0"/>
    <w:rsid w:val="00F33CD5"/>
    <w:rsid w:val="00F34F78"/>
    <w:rsid w:val="00F35089"/>
    <w:rsid w:val="00F36296"/>
    <w:rsid w:val="00F370EE"/>
    <w:rsid w:val="00F41E98"/>
    <w:rsid w:val="00F42D80"/>
    <w:rsid w:val="00F43D19"/>
    <w:rsid w:val="00F4429B"/>
    <w:rsid w:val="00F448E3"/>
    <w:rsid w:val="00F44C0A"/>
    <w:rsid w:val="00F454C1"/>
    <w:rsid w:val="00F4614F"/>
    <w:rsid w:val="00F53889"/>
    <w:rsid w:val="00F5426D"/>
    <w:rsid w:val="00F55062"/>
    <w:rsid w:val="00F55FB8"/>
    <w:rsid w:val="00F603FB"/>
    <w:rsid w:val="00F61AE9"/>
    <w:rsid w:val="00F622BC"/>
    <w:rsid w:val="00F62BBA"/>
    <w:rsid w:val="00F62F6F"/>
    <w:rsid w:val="00F64276"/>
    <w:rsid w:val="00F64521"/>
    <w:rsid w:val="00F6510D"/>
    <w:rsid w:val="00F660D5"/>
    <w:rsid w:val="00F66252"/>
    <w:rsid w:val="00F66969"/>
    <w:rsid w:val="00F6758A"/>
    <w:rsid w:val="00F7025F"/>
    <w:rsid w:val="00F7030A"/>
    <w:rsid w:val="00F7052E"/>
    <w:rsid w:val="00F71771"/>
    <w:rsid w:val="00F719EC"/>
    <w:rsid w:val="00F72AC9"/>
    <w:rsid w:val="00F72B7D"/>
    <w:rsid w:val="00F803A1"/>
    <w:rsid w:val="00F80B69"/>
    <w:rsid w:val="00F814CC"/>
    <w:rsid w:val="00F81EFD"/>
    <w:rsid w:val="00F829AE"/>
    <w:rsid w:val="00F833B9"/>
    <w:rsid w:val="00F84DB6"/>
    <w:rsid w:val="00F8589A"/>
    <w:rsid w:val="00F860E7"/>
    <w:rsid w:val="00F864E5"/>
    <w:rsid w:val="00F90A6C"/>
    <w:rsid w:val="00F90F5B"/>
    <w:rsid w:val="00F94889"/>
    <w:rsid w:val="00F9598F"/>
    <w:rsid w:val="00F964BA"/>
    <w:rsid w:val="00FA2AAE"/>
    <w:rsid w:val="00FA3C6D"/>
    <w:rsid w:val="00FA522E"/>
    <w:rsid w:val="00FB5FE2"/>
    <w:rsid w:val="00FB7BB3"/>
    <w:rsid w:val="00FC0E79"/>
    <w:rsid w:val="00FC14BB"/>
    <w:rsid w:val="00FC3D12"/>
    <w:rsid w:val="00FC5958"/>
    <w:rsid w:val="00FC5E57"/>
    <w:rsid w:val="00FC6AF5"/>
    <w:rsid w:val="00FC774B"/>
    <w:rsid w:val="00FD06D5"/>
    <w:rsid w:val="00FD08F8"/>
    <w:rsid w:val="00FD0938"/>
    <w:rsid w:val="00FD4C76"/>
    <w:rsid w:val="00FD5577"/>
    <w:rsid w:val="00FD6588"/>
    <w:rsid w:val="00FD6C1C"/>
    <w:rsid w:val="00FD70EE"/>
    <w:rsid w:val="00FE0ACE"/>
    <w:rsid w:val="00FE511E"/>
    <w:rsid w:val="00FE6923"/>
    <w:rsid w:val="00FE6A79"/>
    <w:rsid w:val="00FE6B79"/>
    <w:rsid w:val="00FE6F25"/>
    <w:rsid w:val="00FE71C0"/>
    <w:rsid w:val="00FF1F7C"/>
    <w:rsid w:val="00FF2D8F"/>
    <w:rsid w:val="00FF4230"/>
    <w:rsid w:val="00FF71C9"/>
    <w:rsid w:val="0D2465AE"/>
    <w:rsid w:val="0E093BCE"/>
    <w:rsid w:val="0F203270"/>
    <w:rsid w:val="1019E303"/>
    <w:rsid w:val="1303D22F"/>
    <w:rsid w:val="14DFEF31"/>
    <w:rsid w:val="1819B455"/>
    <w:rsid w:val="18B829B4"/>
    <w:rsid w:val="1C862B3F"/>
    <w:rsid w:val="21173804"/>
    <w:rsid w:val="2EFC3517"/>
    <w:rsid w:val="34C043F0"/>
    <w:rsid w:val="34F94A7A"/>
    <w:rsid w:val="35A0C0F1"/>
    <w:rsid w:val="39C0F636"/>
    <w:rsid w:val="438A12F2"/>
    <w:rsid w:val="47419123"/>
    <w:rsid w:val="4A78E836"/>
    <w:rsid w:val="4E6A6A91"/>
    <w:rsid w:val="4F2F1B52"/>
    <w:rsid w:val="507E20E4"/>
    <w:rsid w:val="52813730"/>
    <w:rsid w:val="627252D2"/>
    <w:rsid w:val="62A0C2A7"/>
    <w:rsid w:val="62AE6F8A"/>
    <w:rsid w:val="6524B8C8"/>
    <w:rsid w:val="65E6104C"/>
    <w:rsid w:val="6ACFBE64"/>
    <w:rsid w:val="6D676724"/>
    <w:rsid w:val="7C07302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F6340"/>
  <w15:docId w15:val="{C8C0BAB1-BC86-4BF9-899C-674E885E3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8130D"/>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qFormat/>
    <w:rsid w:val="00DF700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customStyle="1" w:styleId="StandardAH">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eastAsia="Batang" w:hAnsi="Times New Roman"/>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uiPriority w:val="99"/>
    <w:semiHidden/>
    <w:unhideWhenUsed/>
    <w:rsid w:val="00AD43DE"/>
    <w:rPr>
      <w:sz w:val="16"/>
      <w:szCs w:val="16"/>
    </w:rPr>
  </w:style>
  <w:style w:type="paragraph" w:styleId="Kommentartext">
    <w:name w:val="annotation text"/>
    <w:basedOn w:val="Standard"/>
    <w:link w:val="KommentartextZchn"/>
    <w:unhideWhenUsed/>
    <w:rsid w:val="00AD43DE"/>
    <w:rPr>
      <w:sz w:val="20"/>
    </w:rPr>
  </w:style>
  <w:style w:type="character" w:customStyle="1" w:styleId="KommentartextZchn">
    <w:name w:val="Kommentartext Zchn"/>
    <w:basedOn w:val="Absatz-Standardschriftart"/>
    <w:link w:val="Kommentartext"/>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customStyle="1" w:styleId="KommentarthemaZchn">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customStyle="1" w:styleId="Default">
    <w:name w:val="Default"/>
    <w:rsid w:val="001A258A"/>
    <w:pPr>
      <w:autoSpaceDE w:val="0"/>
      <w:autoSpaceDN w:val="0"/>
      <w:adjustRightInd w:val="0"/>
    </w:pPr>
    <w:rPr>
      <w:rFonts w:ascii="Arial" w:hAnsi="Arial" w:cs="Arial"/>
      <w:color w:val="000000"/>
      <w:sz w:val="24"/>
      <w:szCs w:val="24"/>
    </w:rPr>
  </w:style>
  <w:style w:type="character" w:customStyle="1" w:styleId="hps">
    <w:name w:val="hps"/>
    <w:basedOn w:val="Absatz-Standardschriftart"/>
    <w:rsid w:val="000057CE"/>
  </w:style>
  <w:style w:type="character" w:customStyle="1" w:styleId="berschrift1Zchn">
    <w:name w:val="Überschrift 1 Zchn"/>
    <w:basedOn w:val="Absatz-Standardschriftart"/>
    <w:link w:val="berschrift1"/>
    <w:rsid w:val="00AD76AD"/>
    <w:rPr>
      <w:rFonts w:asciiTheme="majorHAnsi" w:eastAsiaTheme="majorEastAsia" w:hAnsiTheme="majorHAnsi" w:cstheme="majorBidi"/>
      <w:b/>
      <w:bCs/>
      <w:color w:val="365F91" w:themeColor="accent1" w:themeShade="BF"/>
      <w:sz w:val="28"/>
      <w:szCs w:val="28"/>
    </w:rPr>
  </w:style>
  <w:style w:type="character" w:customStyle="1" w:styleId="textblack">
    <w:name w:val="textblack"/>
    <w:basedOn w:val="Absatz-Standardschriftart"/>
    <w:rsid w:val="00AD76AD"/>
  </w:style>
  <w:style w:type="character" w:customStyle="1" w:styleId="apple-converted-space">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customStyle="1" w:styleId="FuzeileZchn">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B12120"/>
    <w:rPr>
      <w:rFonts w:asciiTheme="majorHAnsi" w:eastAsiaTheme="majorEastAsia" w:hAnsiTheme="majorHAnsi" w:cstheme="majorBidi"/>
      <w:color w:val="17365D" w:themeColor="text2" w:themeShade="BF"/>
      <w:spacing w:val="5"/>
      <w:kern w:val="28"/>
      <w:sz w:val="52"/>
      <w:szCs w:val="52"/>
    </w:rPr>
  </w:style>
  <w:style w:type="character" w:customStyle="1" w:styleId="KopfzeileZchn">
    <w:name w:val="Kopfzeile Zchn"/>
    <w:basedOn w:val="Absatz-Standardschriftart"/>
    <w:link w:val="Kopfzeile"/>
    <w:rsid w:val="006A1BE6"/>
    <w:rPr>
      <w:rFonts w:ascii="Arial" w:hAnsi="Arial"/>
      <w:sz w:val="22"/>
    </w:rPr>
  </w:style>
  <w:style w:type="character" w:customStyle="1" w:styleId="normaltextrun">
    <w:name w:val="normaltextrun"/>
    <w:basedOn w:val="Absatz-Standardschriftart"/>
    <w:rsid w:val="00620F9E"/>
  </w:style>
  <w:style w:type="paragraph" w:styleId="Funotentext">
    <w:name w:val="footnote text"/>
    <w:basedOn w:val="Standard"/>
    <w:link w:val="FunotentextZchn"/>
    <w:uiPriority w:val="99"/>
    <w:semiHidden/>
    <w:unhideWhenUsed/>
    <w:rsid w:val="00B675B1"/>
    <w:rPr>
      <w:rFonts w:asciiTheme="minorHAnsi" w:eastAsiaTheme="minorHAnsi" w:hAnsiTheme="minorHAnsi" w:cstheme="minorBidi"/>
      <w:sz w:val="20"/>
    </w:rPr>
  </w:style>
  <w:style w:type="character" w:customStyle="1" w:styleId="FunotentextZchn">
    <w:name w:val="Fußnotentext Zchn"/>
    <w:basedOn w:val="Absatz-Standardschriftart"/>
    <w:link w:val="Funotentext"/>
    <w:uiPriority w:val="99"/>
    <w:semiHidden/>
    <w:rsid w:val="00B675B1"/>
    <w:rPr>
      <w:rFonts w:asciiTheme="minorHAnsi" w:eastAsiaTheme="minorHAnsi" w:hAnsiTheme="minorHAnsi" w:cstheme="minorBidi"/>
      <w:lang w:val="en-GB"/>
    </w:rPr>
  </w:style>
  <w:style w:type="character" w:styleId="Funotenzeichen">
    <w:name w:val="footnote reference"/>
    <w:basedOn w:val="Absatz-Standardschriftart"/>
    <w:uiPriority w:val="99"/>
    <w:semiHidden/>
    <w:unhideWhenUsed/>
    <w:rsid w:val="00B675B1"/>
    <w:rPr>
      <w:vertAlign w:val="superscript"/>
    </w:rPr>
  </w:style>
  <w:style w:type="character" w:customStyle="1" w:styleId="ui-provider">
    <w:name w:val="ui-provider"/>
    <w:basedOn w:val="Absatz-Standardschriftart"/>
    <w:rsid w:val="0006288A"/>
  </w:style>
  <w:style w:type="character" w:styleId="NichtaufgelsteErwhnung">
    <w:name w:val="Unresolved Mention"/>
    <w:basedOn w:val="Absatz-Standardschriftart"/>
    <w:uiPriority w:val="99"/>
    <w:semiHidden/>
    <w:unhideWhenUsed/>
    <w:rsid w:val="00814207"/>
    <w:rPr>
      <w:color w:val="605E5C"/>
      <w:shd w:val="clear" w:color="auto" w:fill="E1DFDD"/>
    </w:rPr>
  </w:style>
  <w:style w:type="paragraph" w:customStyle="1" w:styleId="paragraph">
    <w:name w:val="paragraph"/>
    <w:basedOn w:val="Standard"/>
    <w:rsid w:val="004C074C"/>
    <w:pPr>
      <w:spacing w:before="100" w:beforeAutospacing="1" w:after="100" w:afterAutospacing="1"/>
    </w:pPr>
    <w:rPr>
      <w:rFonts w:ascii="Times New Roman" w:hAnsi="Times New Roman"/>
      <w:sz w:val="24"/>
      <w:szCs w:val="24"/>
      <w:lang w:eastAsia="de-DE"/>
    </w:rPr>
  </w:style>
  <w:style w:type="character" w:customStyle="1" w:styleId="eop">
    <w:name w:val="eop"/>
    <w:basedOn w:val="Absatz-Standardschriftart"/>
    <w:rsid w:val="004C074C"/>
  </w:style>
  <w:style w:type="character" w:customStyle="1" w:styleId="tabchar">
    <w:name w:val="tabchar"/>
    <w:basedOn w:val="Absatz-Standardschriftart"/>
    <w:rsid w:val="004C0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79396594">
      <w:bodyDiv w:val="1"/>
      <w:marLeft w:val="0"/>
      <w:marRight w:val="0"/>
      <w:marTop w:val="0"/>
      <w:marBottom w:val="0"/>
      <w:divBdr>
        <w:top w:val="none" w:sz="0" w:space="0" w:color="auto"/>
        <w:left w:val="none" w:sz="0" w:space="0" w:color="auto"/>
        <w:bottom w:val="none" w:sz="0" w:space="0" w:color="auto"/>
        <w:right w:val="none" w:sz="0" w:space="0" w:color="auto"/>
      </w:divBdr>
      <w:divsChild>
        <w:div w:id="1622953620">
          <w:marLeft w:val="0"/>
          <w:marRight w:val="0"/>
          <w:marTop w:val="0"/>
          <w:marBottom w:val="0"/>
          <w:divBdr>
            <w:top w:val="none" w:sz="0" w:space="0" w:color="auto"/>
            <w:left w:val="none" w:sz="0" w:space="0" w:color="auto"/>
            <w:bottom w:val="none" w:sz="0" w:space="0" w:color="auto"/>
            <w:right w:val="none" w:sz="0" w:space="0" w:color="auto"/>
          </w:divBdr>
        </w:div>
        <w:div w:id="707876999">
          <w:marLeft w:val="0"/>
          <w:marRight w:val="0"/>
          <w:marTop w:val="0"/>
          <w:marBottom w:val="0"/>
          <w:divBdr>
            <w:top w:val="none" w:sz="0" w:space="0" w:color="auto"/>
            <w:left w:val="none" w:sz="0" w:space="0" w:color="auto"/>
            <w:bottom w:val="none" w:sz="0" w:space="0" w:color="auto"/>
            <w:right w:val="none" w:sz="0" w:space="0" w:color="auto"/>
          </w:divBdr>
        </w:div>
        <w:div w:id="1654094184">
          <w:marLeft w:val="0"/>
          <w:marRight w:val="0"/>
          <w:marTop w:val="0"/>
          <w:marBottom w:val="0"/>
          <w:divBdr>
            <w:top w:val="none" w:sz="0" w:space="0" w:color="auto"/>
            <w:left w:val="none" w:sz="0" w:space="0" w:color="auto"/>
            <w:bottom w:val="none" w:sz="0" w:space="0" w:color="auto"/>
            <w:right w:val="none" w:sz="0" w:space="0" w:color="auto"/>
          </w:divBdr>
        </w:div>
        <w:div w:id="694698056">
          <w:marLeft w:val="0"/>
          <w:marRight w:val="0"/>
          <w:marTop w:val="0"/>
          <w:marBottom w:val="0"/>
          <w:divBdr>
            <w:top w:val="none" w:sz="0" w:space="0" w:color="auto"/>
            <w:left w:val="none" w:sz="0" w:space="0" w:color="auto"/>
            <w:bottom w:val="none" w:sz="0" w:space="0" w:color="auto"/>
            <w:right w:val="none" w:sz="0" w:space="0" w:color="auto"/>
          </w:divBdr>
        </w:div>
        <w:div w:id="330067789">
          <w:marLeft w:val="0"/>
          <w:marRight w:val="0"/>
          <w:marTop w:val="0"/>
          <w:marBottom w:val="0"/>
          <w:divBdr>
            <w:top w:val="none" w:sz="0" w:space="0" w:color="auto"/>
            <w:left w:val="none" w:sz="0" w:space="0" w:color="auto"/>
            <w:bottom w:val="none" w:sz="0" w:space="0" w:color="auto"/>
            <w:right w:val="none" w:sz="0" w:space="0" w:color="auto"/>
          </w:divBdr>
        </w:div>
      </w:divsChild>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421224682">
      <w:bodyDiv w:val="1"/>
      <w:marLeft w:val="0"/>
      <w:marRight w:val="0"/>
      <w:marTop w:val="0"/>
      <w:marBottom w:val="0"/>
      <w:divBdr>
        <w:top w:val="none" w:sz="0" w:space="0" w:color="auto"/>
        <w:left w:val="none" w:sz="0" w:space="0" w:color="auto"/>
        <w:bottom w:val="none" w:sz="0" w:space="0" w:color="auto"/>
        <w:right w:val="none" w:sz="0" w:space="0" w:color="auto"/>
      </w:divBdr>
      <w:divsChild>
        <w:div w:id="113713100">
          <w:marLeft w:val="0"/>
          <w:marRight w:val="0"/>
          <w:marTop w:val="0"/>
          <w:marBottom w:val="0"/>
          <w:divBdr>
            <w:top w:val="none" w:sz="0" w:space="0" w:color="auto"/>
            <w:left w:val="none" w:sz="0" w:space="0" w:color="auto"/>
            <w:bottom w:val="none" w:sz="0" w:space="0" w:color="auto"/>
            <w:right w:val="none" w:sz="0" w:space="0" w:color="auto"/>
          </w:divBdr>
        </w:div>
        <w:div w:id="1965697677">
          <w:marLeft w:val="0"/>
          <w:marRight w:val="0"/>
          <w:marTop w:val="0"/>
          <w:marBottom w:val="0"/>
          <w:divBdr>
            <w:top w:val="none" w:sz="0" w:space="0" w:color="auto"/>
            <w:left w:val="none" w:sz="0" w:space="0" w:color="auto"/>
            <w:bottom w:val="none" w:sz="0" w:space="0" w:color="auto"/>
            <w:right w:val="none" w:sz="0" w:space="0" w:color="auto"/>
          </w:divBdr>
        </w:div>
        <w:div w:id="107821568">
          <w:marLeft w:val="0"/>
          <w:marRight w:val="0"/>
          <w:marTop w:val="0"/>
          <w:marBottom w:val="0"/>
          <w:divBdr>
            <w:top w:val="none" w:sz="0" w:space="0" w:color="auto"/>
            <w:left w:val="none" w:sz="0" w:space="0" w:color="auto"/>
            <w:bottom w:val="none" w:sz="0" w:space="0" w:color="auto"/>
            <w:right w:val="none" w:sz="0" w:space="0" w:color="auto"/>
          </w:divBdr>
        </w:div>
      </w:divsChild>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2974892">
      <w:bodyDiv w:val="1"/>
      <w:marLeft w:val="0"/>
      <w:marRight w:val="0"/>
      <w:marTop w:val="0"/>
      <w:marBottom w:val="0"/>
      <w:divBdr>
        <w:top w:val="none" w:sz="0" w:space="0" w:color="auto"/>
        <w:left w:val="none" w:sz="0" w:space="0" w:color="auto"/>
        <w:bottom w:val="none" w:sz="0" w:space="0" w:color="auto"/>
        <w:right w:val="none" w:sz="0" w:space="0" w:color="auto"/>
      </w:divBdr>
      <w:divsChild>
        <w:div w:id="1896696744">
          <w:marLeft w:val="0"/>
          <w:marRight w:val="0"/>
          <w:marTop w:val="0"/>
          <w:marBottom w:val="0"/>
          <w:divBdr>
            <w:top w:val="none" w:sz="0" w:space="0" w:color="auto"/>
            <w:left w:val="none" w:sz="0" w:space="0" w:color="auto"/>
            <w:bottom w:val="none" w:sz="0" w:space="0" w:color="auto"/>
            <w:right w:val="none" w:sz="0" w:space="0" w:color="auto"/>
          </w:divBdr>
        </w:div>
        <w:div w:id="361787701">
          <w:marLeft w:val="0"/>
          <w:marRight w:val="0"/>
          <w:marTop w:val="0"/>
          <w:marBottom w:val="0"/>
          <w:divBdr>
            <w:top w:val="none" w:sz="0" w:space="0" w:color="auto"/>
            <w:left w:val="none" w:sz="0" w:space="0" w:color="auto"/>
            <w:bottom w:val="none" w:sz="0" w:space="0" w:color="auto"/>
            <w:right w:val="none" w:sz="0" w:space="0" w:color="auto"/>
          </w:divBdr>
        </w:div>
      </w:divsChild>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160193634">
      <w:bodyDiv w:val="1"/>
      <w:marLeft w:val="0"/>
      <w:marRight w:val="0"/>
      <w:marTop w:val="0"/>
      <w:marBottom w:val="0"/>
      <w:divBdr>
        <w:top w:val="none" w:sz="0" w:space="0" w:color="auto"/>
        <w:left w:val="none" w:sz="0" w:space="0" w:color="auto"/>
        <w:bottom w:val="none" w:sz="0" w:space="0" w:color="auto"/>
        <w:right w:val="none" w:sz="0" w:space="0" w:color="auto"/>
      </w:divBdr>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02309357">
      <w:bodyDiv w:val="1"/>
      <w:marLeft w:val="0"/>
      <w:marRight w:val="0"/>
      <w:marTop w:val="0"/>
      <w:marBottom w:val="0"/>
      <w:divBdr>
        <w:top w:val="none" w:sz="0" w:space="0" w:color="auto"/>
        <w:left w:val="none" w:sz="0" w:space="0" w:color="auto"/>
        <w:bottom w:val="none" w:sz="0" w:space="0" w:color="auto"/>
        <w:right w:val="none" w:sz="0" w:space="0" w:color="auto"/>
      </w:divBdr>
      <w:divsChild>
        <w:div w:id="703091718">
          <w:marLeft w:val="0"/>
          <w:marRight w:val="0"/>
          <w:marTop w:val="0"/>
          <w:marBottom w:val="0"/>
          <w:divBdr>
            <w:top w:val="none" w:sz="0" w:space="0" w:color="auto"/>
            <w:left w:val="none" w:sz="0" w:space="0" w:color="auto"/>
            <w:bottom w:val="none" w:sz="0" w:space="0" w:color="auto"/>
            <w:right w:val="none" w:sz="0" w:space="0" w:color="auto"/>
          </w:divBdr>
        </w:div>
        <w:div w:id="287049935">
          <w:marLeft w:val="0"/>
          <w:marRight w:val="0"/>
          <w:marTop w:val="0"/>
          <w:marBottom w:val="0"/>
          <w:divBdr>
            <w:top w:val="none" w:sz="0" w:space="0" w:color="auto"/>
            <w:left w:val="none" w:sz="0" w:space="0" w:color="auto"/>
            <w:bottom w:val="none" w:sz="0" w:space="0" w:color="auto"/>
            <w:right w:val="none" w:sz="0" w:space="0" w:color="auto"/>
          </w:divBdr>
        </w:div>
        <w:div w:id="109395714">
          <w:marLeft w:val="0"/>
          <w:marRight w:val="0"/>
          <w:marTop w:val="0"/>
          <w:marBottom w:val="0"/>
          <w:divBdr>
            <w:top w:val="none" w:sz="0" w:space="0" w:color="auto"/>
            <w:left w:val="none" w:sz="0" w:space="0" w:color="auto"/>
            <w:bottom w:val="none" w:sz="0" w:space="0" w:color="auto"/>
            <w:right w:val="none" w:sz="0" w:space="0" w:color="auto"/>
          </w:divBdr>
        </w:div>
      </w:divsChild>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22565487">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03433626">
      <w:bodyDiv w:val="1"/>
      <w:marLeft w:val="0"/>
      <w:marRight w:val="0"/>
      <w:marTop w:val="0"/>
      <w:marBottom w:val="0"/>
      <w:divBdr>
        <w:top w:val="none" w:sz="0" w:space="0" w:color="auto"/>
        <w:left w:val="none" w:sz="0" w:space="0" w:color="auto"/>
        <w:bottom w:val="none" w:sz="0" w:space="0" w:color="auto"/>
        <w:right w:val="none" w:sz="0" w:space="0" w:color="auto"/>
      </w:divBdr>
      <w:divsChild>
        <w:div w:id="1717778596">
          <w:marLeft w:val="0"/>
          <w:marRight w:val="0"/>
          <w:marTop w:val="0"/>
          <w:marBottom w:val="0"/>
          <w:divBdr>
            <w:top w:val="none" w:sz="0" w:space="0" w:color="auto"/>
            <w:left w:val="none" w:sz="0" w:space="0" w:color="auto"/>
            <w:bottom w:val="none" w:sz="0" w:space="0" w:color="auto"/>
            <w:right w:val="none" w:sz="0" w:space="0" w:color="auto"/>
          </w:divBdr>
        </w:div>
        <w:div w:id="161358923">
          <w:marLeft w:val="0"/>
          <w:marRight w:val="0"/>
          <w:marTop w:val="0"/>
          <w:marBottom w:val="0"/>
          <w:divBdr>
            <w:top w:val="none" w:sz="0" w:space="0" w:color="auto"/>
            <w:left w:val="none" w:sz="0" w:space="0" w:color="auto"/>
            <w:bottom w:val="none" w:sz="0" w:space="0" w:color="auto"/>
            <w:right w:val="none" w:sz="0" w:space="0" w:color="auto"/>
          </w:divBdr>
        </w:div>
      </w:divsChild>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792816759">
      <w:bodyDiv w:val="1"/>
      <w:marLeft w:val="0"/>
      <w:marRight w:val="0"/>
      <w:marTop w:val="0"/>
      <w:marBottom w:val="0"/>
      <w:divBdr>
        <w:top w:val="none" w:sz="0" w:space="0" w:color="auto"/>
        <w:left w:val="none" w:sz="0" w:space="0" w:color="auto"/>
        <w:bottom w:val="none" w:sz="0" w:space="0" w:color="auto"/>
        <w:right w:val="none" w:sz="0" w:space="0" w:color="auto"/>
      </w:divBdr>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04367962">
      <w:bodyDiv w:val="1"/>
      <w:marLeft w:val="0"/>
      <w:marRight w:val="0"/>
      <w:marTop w:val="0"/>
      <w:marBottom w:val="0"/>
      <w:divBdr>
        <w:top w:val="none" w:sz="0" w:space="0" w:color="auto"/>
        <w:left w:val="none" w:sz="0" w:space="0" w:color="auto"/>
        <w:bottom w:val="none" w:sz="0" w:space="0" w:color="auto"/>
        <w:right w:val="none" w:sz="0" w:space="0" w:color="auto"/>
      </w:divBdr>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eidmueller.com/sustainability-brochur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eidmueller.com/int/company/our_company/who_we_are/index.js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esse@weidmuell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8" ma:contentTypeDescription="Ein neues Dokument erstellen." ma:contentTypeScope="" ma:versionID="ca2cb59cde36f415e378952d4c1744cb">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1f6ee99c5cf5b9da61bffff7af4afd9a"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3E0289-75F6-4B6E-955A-EED8EC8DE2FA}">
  <ds:schemaRefs>
    <ds:schemaRef ds:uri="http://schemas.openxmlformats.org/officeDocument/2006/bibliography"/>
  </ds:schemaRefs>
</ds:datastoreItem>
</file>

<file path=customXml/itemProps2.xml><?xml version="1.0" encoding="utf-8"?>
<ds:datastoreItem xmlns:ds="http://schemas.openxmlformats.org/officeDocument/2006/customXml" ds:itemID="{79EA2848-5A59-4B26-94DF-2D5B946188F3}">
  <ds:schemaRefs>
    <ds:schemaRef ds:uri="http://schemas.microsoft.com/sharepoint/v3/contenttype/forms"/>
  </ds:schemaRefs>
</ds:datastoreItem>
</file>

<file path=customXml/itemProps3.xml><?xml version="1.0" encoding="utf-8"?>
<ds:datastoreItem xmlns:ds="http://schemas.openxmlformats.org/officeDocument/2006/customXml" ds:itemID="{7C08657A-679E-44AF-8BF5-FF40AACB17D4}">
  <ds:schemaRefs>
    <ds:schemaRef ds:uri="http://schemas.microsoft.com/office/2006/metadata/properties"/>
    <ds:schemaRef ds:uri="http://schemas.microsoft.com/office/infopath/2007/PartnerControls"/>
    <ds:schemaRef ds:uri="dde8b94e-0d97-4c33-9139-0fa9dfaadaee"/>
    <ds:schemaRef ds:uri="ef0bd676-2fa1-4f90-9075-fcc9bbed01ad"/>
  </ds:schemaRefs>
</ds:datastoreItem>
</file>

<file path=customXml/itemProps4.xml><?xml version="1.0" encoding="utf-8"?>
<ds:datastoreItem xmlns:ds="http://schemas.openxmlformats.org/officeDocument/2006/customXml" ds:itemID="{3A309876-35AA-41E3-9C3C-E2A046F5C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993</Words>
  <Characters>6261</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PV Next Fireman Switch Weidmüller</vt:lpstr>
    </vt:vector>
  </TitlesOfParts>
  <Company>Weidmüller Holding</Company>
  <LinksUpToDate>false</LinksUpToDate>
  <CharactersWithSpaces>7240</CharactersWithSpaces>
  <SharedDoc>false</SharedDoc>
  <HLinks>
    <vt:vector size="18" baseType="variant">
      <vt:variant>
        <vt:i4>7864389</vt:i4>
      </vt:variant>
      <vt:variant>
        <vt:i4>6</vt:i4>
      </vt:variant>
      <vt:variant>
        <vt:i4>0</vt:i4>
      </vt:variant>
      <vt:variant>
        <vt:i4>5</vt:i4>
      </vt:variant>
      <vt:variant>
        <vt:lpwstr>mailto:presse@weidmueller.com</vt:lpwstr>
      </vt:variant>
      <vt:variant>
        <vt:lpwstr/>
      </vt:variant>
      <vt:variant>
        <vt:i4>7602212</vt:i4>
      </vt:variant>
      <vt:variant>
        <vt:i4>3</vt:i4>
      </vt:variant>
      <vt:variant>
        <vt:i4>0</vt:i4>
      </vt:variant>
      <vt:variant>
        <vt:i4>5</vt:i4>
      </vt:variant>
      <vt:variant>
        <vt:lpwstr>http://www.weidmueller.com/sustainability-brochure</vt:lpwstr>
      </vt:variant>
      <vt:variant>
        <vt:lpwstr/>
      </vt:variant>
      <vt:variant>
        <vt:i4>6291478</vt:i4>
      </vt:variant>
      <vt:variant>
        <vt:i4>0</vt:i4>
      </vt:variant>
      <vt:variant>
        <vt:i4>0</vt:i4>
      </vt:variant>
      <vt:variant>
        <vt:i4>5</vt:i4>
      </vt:variant>
      <vt:variant>
        <vt:lpwstr>https://www.weidmueller.com/int/company/our_company/who_we_are/index.jsp</vt:lpwstr>
      </vt:variant>
      <vt:variant>
        <vt:lpwstr>wm-1246253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 Next Fireman Switch Weidmüller</dc:title>
  <dc:subject/>
  <dc:creator>presse@weidmueller.com</dc:creator>
  <cp:keywords/>
  <cp:lastModifiedBy>Rottwinkel, Melinda</cp:lastModifiedBy>
  <cp:revision>2</cp:revision>
  <cp:lastPrinted>2018-03-05T23:44:00Z</cp:lastPrinted>
  <dcterms:created xsi:type="dcterms:W3CDTF">2024-06-17T07:24:00Z</dcterms:created>
  <dcterms:modified xsi:type="dcterms:W3CDTF">2024-06-17T07:24:00Z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