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D191" w14:textId="45458CB6" w:rsidR="005123EB" w:rsidRPr="0032369C" w:rsidRDefault="4280426D" w:rsidP="0032369C">
      <w:pPr>
        <w:spacing w:line="360" w:lineRule="auto"/>
        <w:rPr>
          <w:rFonts w:ascii="Arial" w:hAnsi="Arial" w:cs="Arial"/>
          <w:b/>
          <w:bCs/>
        </w:rPr>
      </w:pPr>
      <w:r w:rsidRPr="0032369C">
        <w:rPr>
          <w:rFonts w:ascii="Arial" w:hAnsi="Arial" w:cs="Arial"/>
          <w:b/>
        </w:rPr>
        <w:t>Uninterruptible power supply for 24 V applications</w:t>
      </w:r>
    </w:p>
    <w:p w14:paraId="25B2D219" w14:textId="5063F6D6" w:rsidR="00B377DB" w:rsidRPr="0032369C" w:rsidRDefault="5BF19D89" w:rsidP="0032369C">
      <w:pPr>
        <w:spacing w:line="360" w:lineRule="auto"/>
        <w:rPr>
          <w:rFonts w:ascii="Arial" w:hAnsi="Arial" w:cs="Arial"/>
        </w:rPr>
      </w:pPr>
      <w:r w:rsidRPr="0032369C">
        <w:rPr>
          <w:rFonts w:ascii="Arial" w:hAnsi="Arial" w:cs="Arial"/>
        </w:rPr>
        <w:t>The new DURAmax DC UPS from Weidmüller monitors power supplies across multiple industries</w:t>
      </w:r>
    </w:p>
    <w:p w14:paraId="47D5DB34" w14:textId="00FD9885" w:rsidR="00836B33" w:rsidRPr="0032369C" w:rsidRDefault="5449699A" w:rsidP="0032369C">
      <w:pPr>
        <w:spacing w:line="360" w:lineRule="auto"/>
        <w:rPr>
          <w:rFonts w:ascii="Arial" w:hAnsi="Arial" w:cs="Arial"/>
          <w:i/>
          <w:iCs/>
        </w:rPr>
      </w:pPr>
      <w:r w:rsidRPr="0032369C">
        <w:rPr>
          <w:rFonts w:ascii="Arial" w:hAnsi="Arial" w:cs="Arial"/>
          <w:i/>
        </w:rPr>
        <w:t>With the new DURAmax DC UPS, Weidmüller presents a compact solution for the uninterruptible power supply of 24 V applications. The DC UPS impresses with ease of use, robust design and maximum reliability, making it ideal for demanding environments, such as shipbuilding and industrial automation.</w:t>
      </w:r>
    </w:p>
    <w:p w14:paraId="0F2E7275" w14:textId="45982F6F" w:rsidR="00221E9A" w:rsidRPr="0032369C" w:rsidRDefault="084495E9" w:rsidP="0032369C">
      <w:pPr>
        <w:spacing w:line="360" w:lineRule="auto"/>
        <w:rPr>
          <w:rFonts w:ascii="Arial" w:hAnsi="Arial" w:cs="Arial"/>
        </w:rPr>
      </w:pPr>
      <w:r w:rsidRPr="0032369C">
        <w:rPr>
          <w:rFonts w:ascii="Arial" w:hAnsi="Arial" w:cs="Arial"/>
        </w:rPr>
        <w:t>Weidmüller is expanding its portfolio with the DURAmax uninterruptible power supply. The UPS monitors the power supply of a system: if an interruption in voltage is detected, it switches to an external battery, preventing system downtime as a result of short-term voltage fluctuations. This ensures a continuous power supply. Once the power supply has been restored, DURAmax redirects part of the current to recharge the external battery until it is fully charged.  </w:t>
      </w:r>
    </w:p>
    <w:p w14:paraId="5B660EF0" w14:textId="4CA2E74F" w:rsidR="005123EB" w:rsidRPr="0032369C" w:rsidRDefault="00662FC3" w:rsidP="0032369C">
      <w:pPr>
        <w:spacing w:line="360" w:lineRule="auto"/>
        <w:rPr>
          <w:rFonts w:ascii="Arial" w:hAnsi="Arial" w:cs="Arial"/>
        </w:rPr>
      </w:pPr>
      <w:r w:rsidRPr="0032369C">
        <w:rPr>
          <w:rFonts w:ascii="Arial" w:hAnsi="Arial" w:cs="Arial"/>
        </w:rPr>
        <w:t>As one of the first DC UPS systems, DURAmax already meets all the requirements of the Cyber Resilience Act (CRA). This enables users to position themselves for the future. Free software is available for configuration, allowing users to flexibly adjust operating parameters and optimally integrate the system into their applications.</w:t>
      </w:r>
    </w:p>
    <w:p w14:paraId="7557EE11" w14:textId="18C6F84C" w:rsidR="005123EB" w:rsidRPr="0032369C" w:rsidRDefault="45B057A9" w:rsidP="0032369C">
      <w:pPr>
        <w:spacing w:line="360" w:lineRule="auto"/>
        <w:rPr>
          <w:rFonts w:ascii="Arial" w:hAnsi="Arial" w:cs="Arial"/>
        </w:rPr>
      </w:pPr>
      <w:r w:rsidRPr="0032369C">
        <w:rPr>
          <w:rFonts w:ascii="Arial" w:hAnsi="Arial" w:cs="Arial"/>
        </w:rPr>
        <w:t>The DURAmax DC UPS is both UL- and DNV-approved, fulfilling international standards for use in demanding environments, such as shipbuilding and industrial automation.</w:t>
      </w:r>
    </w:p>
    <w:p w14:paraId="3F1EC1FB" w14:textId="7693B0F9" w:rsidR="00046745" w:rsidRDefault="303DED6E" w:rsidP="0032369C">
      <w:pPr>
        <w:spacing w:line="360" w:lineRule="auto"/>
        <w:rPr>
          <w:rFonts w:ascii="Arial" w:hAnsi="Arial" w:cs="Arial"/>
        </w:rPr>
      </w:pPr>
      <w:r w:rsidRPr="0032369C">
        <w:rPr>
          <w:rFonts w:ascii="Arial" w:hAnsi="Arial" w:cs="Arial"/>
        </w:rPr>
        <w:t>Its compact design saves valuable space in the control cabinet. Robust and reliable, the UPS is ideal for continuous industrial operation. Users benefit from a comprehensive system consisting of installation software, certifications and CRA compliance. Together, these features make the DURAmax DC UPS from Weidmüller a future-proof and flexible solution for safeguarding 24 V systems.</w:t>
      </w:r>
    </w:p>
    <w:p w14:paraId="13F5FF70" w14:textId="3D02219A" w:rsidR="0032369C" w:rsidRDefault="0032369C" w:rsidP="0032369C">
      <w:pPr>
        <w:spacing w:line="360" w:lineRule="auto"/>
        <w:ind w:right="-851"/>
        <w:jc w:val="both"/>
        <w:rPr>
          <w:rFonts w:ascii="Arial" w:hAnsi="Arial" w:cs="Arial"/>
          <w:sz w:val="18"/>
          <w:szCs w:val="18"/>
        </w:rPr>
      </w:pPr>
      <w:r>
        <w:rPr>
          <w:rFonts w:ascii="Arial" w:hAnsi="Arial" w:cs="Arial"/>
          <w:sz w:val="18"/>
          <w:szCs w:val="18"/>
        </w:rPr>
        <w:t>1784</w:t>
      </w:r>
      <w:r w:rsidRPr="0032369C">
        <w:rPr>
          <w:rFonts w:ascii="Arial" w:hAnsi="Arial" w:cs="Arial"/>
          <w:sz w:val="18"/>
          <w:szCs w:val="18"/>
        </w:rPr>
        <w:t xml:space="preserve"> characters including spaces</w:t>
      </w:r>
    </w:p>
    <w:p w14:paraId="61FF2EC1" w14:textId="77777777" w:rsidR="0032369C" w:rsidRDefault="0032369C" w:rsidP="0032369C">
      <w:pPr>
        <w:spacing w:line="360" w:lineRule="auto"/>
        <w:ind w:right="-851"/>
        <w:jc w:val="both"/>
        <w:rPr>
          <w:rFonts w:ascii="Arial" w:hAnsi="Arial" w:cs="Arial"/>
          <w:sz w:val="18"/>
          <w:szCs w:val="18"/>
        </w:rPr>
      </w:pPr>
    </w:p>
    <w:p w14:paraId="56A4DD86" w14:textId="42A8E295" w:rsidR="0032369C" w:rsidRPr="0032369C" w:rsidRDefault="0032369C" w:rsidP="0032369C">
      <w:pPr>
        <w:spacing w:line="360" w:lineRule="auto"/>
        <w:ind w:right="-851"/>
        <w:jc w:val="both"/>
        <w:rPr>
          <w:rFonts w:ascii="Arial" w:hAnsi="Arial" w:cs="Arial"/>
          <w:sz w:val="18"/>
          <w:szCs w:val="18"/>
        </w:rPr>
      </w:pPr>
      <w:r>
        <w:rPr>
          <w:rFonts w:ascii="Arial" w:hAnsi="Arial" w:cs="Arial"/>
          <w:noProof/>
          <w:sz w:val="18"/>
          <w:szCs w:val="18"/>
        </w:rPr>
        <w:lastRenderedPageBreak/>
        <w:drawing>
          <wp:inline distT="0" distB="0" distL="0" distR="0" wp14:anchorId="64093AB4" wp14:editId="37F13303">
            <wp:extent cx="4857750" cy="3238500"/>
            <wp:effectExtent l="0" t="0" r="0" b="0"/>
            <wp:docPr id="4334044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5F552F45" w14:textId="04DA6663" w:rsidR="0032369C" w:rsidRPr="0032369C" w:rsidRDefault="0032369C" w:rsidP="0032369C">
      <w:pPr>
        <w:spacing w:line="360" w:lineRule="auto"/>
        <w:ind w:right="-851"/>
        <w:jc w:val="both"/>
        <w:rPr>
          <w:rFonts w:ascii="Arial" w:hAnsi="Arial" w:cs="Arial"/>
          <w:sz w:val="20"/>
          <w:szCs w:val="20"/>
          <w:lang w:val="en-US"/>
        </w:rPr>
      </w:pPr>
      <w:bookmarkStart w:id="0" w:name="_Hlk123550621"/>
      <w:r w:rsidRPr="0032369C">
        <w:rPr>
          <w:rFonts w:ascii="Arial" w:hAnsi="Arial" w:cs="Arial"/>
          <w:sz w:val="20"/>
          <w:szCs w:val="20"/>
          <w:lang w:val="en-US"/>
        </w:rPr>
        <w:t>Image caption:</w:t>
      </w:r>
      <w:bookmarkEnd w:id="0"/>
      <w:r>
        <w:rPr>
          <w:rFonts w:ascii="Arial" w:hAnsi="Arial" w:cs="Arial"/>
          <w:sz w:val="20"/>
          <w:szCs w:val="20"/>
          <w:lang w:val="en-US"/>
        </w:rPr>
        <w:t xml:space="preserve"> </w:t>
      </w:r>
      <w:r w:rsidRPr="0032369C">
        <w:rPr>
          <w:rFonts w:ascii="Arial" w:hAnsi="Arial" w:cs="Arial"/>
          <w:sz w:val="20"/>
          <w:szCs w:val="20"/>
          <w:lang w:val="en-US"/>
        </w:rPr>
        <w:t>The DURAmax DC device family comes in four compact designs</w:t>
      </w:r>
    </w:p>
    <w:p w14:paraId="6203641F" w14:textId="77777777" w:rsidR="0032369C" w:rsidRPr="0032369C" w:rsidRDefault="0032369C" w:rsidP="0032369C">
      <w:pPr>
        <w:spacing w:line="360" w:lineRule="auto"/>
        <w:jc w:val="both"/>
        <w:rPr>
          <w:rFonts w:ascii="Arial" w:eastAsia="Arial" w:hAnsi="Arial" w:cs="Arial"/>
          <w:b/>
          <w:sz w:val="18"/>
          <w:szCs w:val="18"/>
          <w:lang w:val="en-US"/>
        </w:rPr>
      </w:pPr>
    </w:p>
    <w:p w14:paraId="1FE50304" w14:textId="332545BD" w:rsidR="0032369C" w:rsidRPr="0032369C" w:rsidRDefault="0032369C" w:rsidP="0032369C">
      <w:pPr>
        <w:spacing w:line="360" w:lineRule="auto"/>
        <w:jc w:val="both"/>
        <w:rPr>
          <w:rFonts w:ascii="Arial" w:hAnsi="Arial" w:cs="Arial"/>
          <w:sz w:val="18"/>
          <w:szCs w:val="18"/>
        </w:rPr>
      </w:pPr>
      <w:r w:rsidRPr="0032369C">
        <w:rPr>
          <w:rFonts w:ascii="Arial" w:eastAsia="Arial" w:hAnsi="Arial" w:cs="Arial"/>
          <w:b/>
          <w:bCs/>
          <w:sz w:val="18"/>
          <w:szCs w:val="18"/>
          <w:lang w:val="en-US"/>
        </w:rPr>
        <w:t>The Weidmüller Group</w:t>
      </w:r>
    </w:p>
    <w:p w14:paraId="2FB18653" w14:textId="77777777" w:rsidR="0032369C" w:rsidRPr="0032369C" w:rsidRDefault="0032369C" w:rsidP="0032369C">
      <w:pPr>
        <w:shd w:val="clear" w:color="auto" w:fill="FFFFFF" w:themeFill="background1"/>
        <w:spacing w:after="378" w:line="360" w:lineRule="auto"/>
        <w:jc w:val="both"/>
        <w:rPr>
          <w:rFonts w:ascii="Arial" w:eastAsia="Arial" w:hAnsi="Arial" w:cs="Arial"/>
          <w:color w:val="323130"/>
          <w:sz w:val="18"/>
          <w:szCs w:val="18"/>
        </w:rPr>
      </w:pPr>
      <w:r w:rsidRPr="0032369C">
        <w:rPr>
          <w:rFonts w:ascii="Arial" w:eastAsia="Arial" w:hAnsi="Arial" w:cs="Arial"/>
          <w:color w:val="323130"/>
          <w:sz w:val="18"/>
          <w:szCs w:val="18"/>
        </w:rPr>
        <w:t xml:space="preserve">Smart Industrial Connectivity: Electrification, automation, digitalisation, electrical connectivity and renewable energies – markets in which Weidmüller feels right at home. The family-owned company established in 1850 has production facilities and sales companies in over 80 countries. As a global player in electric connection technology, Weidmüller achieved a turnover of almost one billion euros in the 2024 financial year with around 5,700 employees worldwide - around 2,000 of whom work at the company's headquarters in Detmold, in the heart of East Westphalia-Lippe, Germany. What Weidmüller lives by: </w:t>
      </w:r>
      <w:hyperlink r:id="rId11" w:anchor="wm-1246253">
        <w:r w:rsidRPr="0032369C">
          <w:rPr>
            <w:rFonts w:ascii="Arial" w:eastAsiaTheme="minorEastAsia" w:hAnsi="Arial" w:cs="Arial"/>
            <w:color w:val="0000FF"/>
            <w:sz w:val="18"/>
            <w:szCs w:val="18"/>
          </w:rPr>
          <w:t>Diversity with respect</w:t>
        </w:r>
      </w:hyperlink>
      <w:r w:rsidRPr="0032369C">
        <w:rPr>
          <w:rFonts w:ascii="Arial" w:eastAsiaTheme="minorEastAsia" w:hAnsi="Arial" w:cs="Arial"/>
          <w:color w:val="0000FF"/>
          <w:sz w:val="18"/>
          <w:szCs w:val="18"/>
        </w:rPr>
        <w:t>.</w:t>
      </w:r>
    </w:p>
    <w:p w14:paraId="49B3EC51" w14:textId="343DA03E" w:rsidR="0032369C" w:rsidRPr="0032369C" w:rsidRDefault="0032369C" w:rsidP="0032369C">
      <w:pPr>
        <w:shd w:val="clear" w:color="auto" w:fill="FFFFFF" w:themeFill="background1"/>
        <w:spacing w:line="360" w:lineRule="auto"/>
        <w:jc w:val="both"/>
        <w:rPr>
          <w:rFonts w:ascii="Arial" w:eastAsia="Arial" w:hAnsi="Arial" w:cs="Arial"/>
          <w:color w:val="323130"/>
          <w:sz w:val="18"/>
          <w:szCs w:val="18"/>
        </w:rPr>
      </w:pPr>
      <w:r w:rsidRPr="0032369C">
        <w:rPr>
          <w:rFonts w:ascii="Arial" w:eastAsia="Arial" w:hAnsi="Arial" w:cs="Arial"/>
          <w:color w:val="323130"/>
          <w:sz w:val="18"/>
          <w:szCs w:val="18"/>
        </w:rPr>
        <w:t xml:space="preserve">Technologies and engagement for a liveable future - Weidmüller demonstrates how it approaches the topic of sustainability in its interactive </w:t>
      </w:r>
      <w:hyperlink r:id="rId12">
        <w:r w:rsidRPr="0032369C">
          <w:rPr>
            <w:rFonts w:ascii="Arial" w:eastAsiaTheme="minorEastAsia" w:hAnsi="Arial" w:cs="Arial"/>
            <w:color w:val="0000FF"/>
            <w:sz w:val="18"/>
            <w:szCs w:val="18"/>
          </w:rPr>
          <w:t>sustainability brochure</w:t>
        </w:r>
      </w:hyperlink>
      <w:r w:rsidRPr="0032369C">
        <w:rPr>
          <w:rFonts w:ascii="Arial" w:eastAsiaTheme="minorEastAsia" w:hAnsi="Arial" w:cs="Arial"/>
          <w:color w:val="0000FF"/>
          <w:sz w:val="18"/>
          <w:szCs w:val="18"/>
        </w:rPr>
        <w:t>.</w:t>
      </w:r>
    </w:p>
    <w:p w14:paraId="167DCC60" w14:textId="77777777" w:rsidR="0032369C" w:rsidRPr="0032369C" w:rsidRDefault="0032369C" w:rsidP="0032369C">
      <w:pPr>
        <w:tabs>
          <w:tab w:val="left" w:pos="1701"/>
        </w:tabs>
        <w:spacing w:after="0" w:line="360" w:lineRule="auto"/>
        <w:jc w:val="both"/>
        <w:rPr>
          <w:rFonts w:ascii="Arial" w:hAnsi="Arial" w:cs="Arial"/>
          <w:sz w:val="18"/>
          <w:szCs w:val="18"/>
        </w:rPr>
      </w:pPr>
      <w:r w:rsidRPr="0032369C">
        <w:rPr>
          <w:rFonts w:ascii="Arial" w:eastAsia="Arial" w:hAnsi="Arial" w:cs="Arial"/>
          <w:b/>
          <w:bCs/>
          <w:sz w:val="18"/>
          <w:szCs w:val="18"/>
          <w:lang w:val="en-US"/>
        </w:rPr>
        <w:t>Your contact person:</w:t>
      </w:r>
      <w:r w:rsidRPr="0032369C">
        <w:rPr>
          <w:rFonts w:ascii="Arial" w:eastAsia="Arial" w:hAnsi="Arial" w:cs="Arial"/>
          <w:sz w:val="18"/>
          <w:szCs w:val="18"/>
          <w:lang w:val="en-US"/>
        </w:rPr>
        <w:t xml:space="preserve"> </w:t>
      </w:r>
      <w:r w:rsidRPr="0032369C">
        <w:rPr>
          <w:rFonts w:ascii="Arial" w:hAnsi="Arial" w:cs="Arial"/>
          <w:sz w:val="18"/>
          <w:szCs w:val="18"/>
        </w:rPr>
        <w:tab/>
      </w:r>
      <w:r w:rsidRPr="0032369C">
        <w:rPr>
          <w:rFonts w:ascii="Arial" w:hAnsi="Arial" w:cs="Arial"/>
          <w:sz w:val="18"/>
          <w:szCs w:val="18"/>
        </w:rPr>
        <w:tab/>
      </w:r>
      <w:r w:rsidRPr="0032369C">
        <w:rPr>
          <w:rFonts w:ascii="Arial" w:eastAsia="Arial" w:hAnsi="Arial" w:cs="Arial"/>
          <w:sz w:val="18"/>
          <w:szCs w:val="18"/>
          <w:lang w:val="en-US"/>
        </w:rPr>
        <w:t>Weidmüller Corporate Communications</w:t>
      </w:r>
    </w:p>
    <w:p w14:paraId="73163665" w14:textId="77777777" w:rsidR="0032369C" w:rsidRPr="0032369C" w:rsidRDefault="0032369C" w:rsidP="0032369C">
      <w:pPr>
        <w:tabs>
          <w:tab w:val="left" w:pos="1701"/>
        </w:tabs>
        <w:spacing w:after="0" w:line="360" w:lineRule="auto"/>
        <w:ind w:left="2124" w:firstLine="708"/>
        <w:jc w:val="both"/>
        <w:rPr>
          <w:rFonts w:ascii="Arial" w:eastAsia="Arial" w:hAnsi="Arial" w:cs="Arial"/>
          <w:sz w:val="18"/>
          <w:szCs w:val="18"/>
          <w:lang w:val="en-US"/>
        </w:rPr>
      </w:pPr>
      <w:r w:rsidRPr="0032369C">
        <w:rPr>
          <w:rFonts w:ascii="Arial" w:eastAsia="Arial" w:hAnsi="Arial" w:cs="Arial"/>
          <w:sz w:val="18"/>
          <w:szCs w:val="18"/>
          <w:lang w:val="en-US"/>
        </w:rPr>
        <w:t>Marc Ladermann, Head of Corporate Communication</w:t>
      </w:r>
    </w:p>
    <w:p w14:paraId="3631B162" w14:textId="77777777" w:rsidR="0032369C" w:rsidRPr="0032369C" w:rsidRDefault="0032369C" w:rsidP="0032369C">
      <w:pPr>
        <w:tabs>
          <w:tab w:val="left" w:pos="1701"/>
        </w:tabs>
        <w:spacing w:after="0" w:line="360" w:lineRule="auto"/>
        <w:ind w:left="2124" w:firstLine="708"/>
        <w:jc w:val="both"/>
        <w:rPr>
          <w:rFonts w:ascii="Arial" w:eastAsia="Arial" w:hAnsi="Arial" w:cs="Arial"/>
          <w:sz w:val="18"/>
          <w:szCs w:val="18"/>
          <w:lang w:val="en-US"/>
        </w:rPr>
      </w:pPr>
      <w:r w:rsidRPr="0032369C">
        <w:rPr>
          <w:rFonts w:ascii="Arial" w:eastAsia="Arial" w:hAnsi="Arial" w:cs="Arial"/>
          <w:sz w:val="18"/>
          <w:szCs w:val="18"/>
          <w:lang w:val="en-US"/>
        </w:rPr>
        <w:t>Tel.: +49 5231 14-292322</w:t>
      </w:r>
    </w:p>
    <w:p w14:paraId="2B6EDDA3" w14:textId="77777777" w:rsidR="0032369C" w:rsidRPr="0032369C" w:rsidRDefault="0032369C" w:rsidP="0032369C">
      <w:pPr>
        <w:tabs>
          <w:tab w:val="left" w:pos="1134"/>
          <w:tab w:val="left" w:pos="1701"/>
        </w:tabs>
        <w:spacing w:after="0" w:line="360" w:lineRule="auto"/>
        <w:ind w:left="2124" w:firstLine="708"/>
        <w:jc w:val="both"/>
        <w:rPr>
          <w:rFonts w:ascii="Arial" w:hAnsi="Arial" w:cs="Arial"/>
          <w:sz w:val="18"/>
          <w:szCs w:val="18"/>
        </w:rPr>
      </w:pPr>
      <w:r w:rsidRPr="0032369C">
        <w:rPr>
          <w:rFonts w:ascii="Arial" w:eastAsia="Arial" w:hAnsi="Arial" w:cs="Arial"/>
          <w:sz w:val="18"/>
          <w:szCs w:val="18"/>
          <w:lang w:val="en-US"/>
        </w:rPr>
        <w:t xml:space="preserve">Email: </w:t>
      </w:r>
      <w:hyperlink r:id="rId13">
        <w:r w:rsidRPr="0032369C">
          <w:rPr>
            <w:rStyle w:val="Hyperlink"/>
            <w:rFonts w:ascii="Arial" w:eastAsia="Arial" w:hAnsi="Arial" w:cs="Arial"/>
            <w:sz w:val="18"/>
            <w:szCs w:val="18"/>
            <w:lang w:val="en-US"/>
          </w:rPr>
          <w:t>presse@weidmueller.com</w:t>
        </w:r>
      </w:hyperlink>
    </w:p>
    <w:p w14:paraId="5739724E" w14:textId="77777777" w:rsidR="0032369C" w:rsidRPr="0032369C" w:rsidRDefault="0032369C" w:rsidP="0032369C">
      <w:pPr>
        <w:spacing w:line="360" w:lineRule="auto"/>
        <w:ind w:left="717" w:right="-851" w:firstLine="2115"/>
        <w:jc w:val="both"/>
        <w:rPr>
          <w:rFonts w:ascii="Arial" w:hAnsi="Arial" w:cs="Arial"/>
          <w:sz w:val="18"/>
          <w:szCs w:val="18"/>
        </w:rPr>
      </w:pPr>
    </w:p>
    <w:p w14:paraId="51E30E19" w14:textId="77777777" w:rsidR="0032369C" w:rsidRDefault="0032369C" w:rsidP="0032369C">
      <w:pPr>
        <w:spacing w:line="360" w:lineRule="auto"/>
        <w:ind w:left="717" w:right="-851" w:firstLine="2115"/>
        <w:jc w:val="both"/>
        <w:rPr>
          <w:sz w:val="18"/>
          <w:szCs w:val="18"/>
        </w:rPr>
      </w:pPr>
    </w:p>
    <w:p w14:paraId="3ED36E7A" w14:textId="77777777" w:rsidR="0032369C" w:rsidRPr="0032369C" w:rsidRDefault="0032369C" w:rsidP="0032369C">
      <w:pPr>
        <w:spacing w:line="360" w:lineRule="auto"/>
        <w:rPr>
          <w:rFonts w:ascii="Arial" w:hAnsi="Arial" w:cs="Arial"/>
        </w:rPr>
      </w:pPr>
    </w:p>
    <w:sectPr w:rsidR="0032369C" w:rsidRPr="0032369C" w:rsidSect="0032369C">
      <w:headerReference w:type="default" r:id="rId14"/>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3BB8" w14:textId="77777777" w:rsidR="0032369C" w:rsidRDefault="0032369C" w:rsidP="0032369C">
      <w:pPr>
        <w:spacing w:after="0" w:line="240" w:lineRule="auto"/>
      </w:pPr>
      <w:r>
        <w:separator/>
      </w:r>
    </w:p>
  </w:endnote>
  <w:endnote w:type="continuationSeparator" w:id="0">
    <w:p w14:paraId="3CDA4605" w14:textId="77777777" w:rsidR="0032369C" w:rsidRDefault="0032369C" w:rsidP="0032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30B8" w14:textId="77777777" w:rsidR="0032369C" w:rsidRDefault="0032369C" w:rsidP="0032369C">
      <w:pPr>
        <w:spacing w:after="0" w:line="240" w:lineRule="auto"/>
      </w:pPr>
      <w:r>
        <w:separator/>
      </w:r>
    </w:p>
  </w:footnote>
  <w:footnote w:type="continuationSeparator" w:id="0">
    <w:p w14:paraId="3578CD9E" w14:textId="77777777" w:rsidR="0032369C" w:rsidRDefault="0032369C" w:rsidP="00323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E4F9" w14:textId="77777777" w:rsidR="0032369C" w:rsidRPr="00A76EBC" w:rsidRDefault="0032369C" w:rsidP="0032369C">
    <w:pPr>
      <w:pStyle w:val="Kopfzeile"/>
    </w:pPr>
    <w:r>
      <w:rPr>
        <w:sz w:val="32"/>
      </w:rPr>
      <w:t>Press Release</w:t>
    </w:r>
    <w:r>
      <w:rPr>
        <w:b/>
        <w:sz w:val="32"/>
      </w:rPr>
      <w:tab/>
    </w:r>
    <w:r>
      <w:rPr>
        <w:b/>
        <w:sz w:val="32"/>
      </w:rPr>
      <w:tab/>
    </w:r>
    <w:r>
      <w:rPr>
        <w:noProof/>
      </w:rPr>
      <w:drawing>
        <wp:anchor distT="0" distB="0" distL="114300" distR="114300" simplePos="0" relativeHeight="251659264" behindDoc="1" locked="0" layoutInCell="1" allowOverlap="1" wp14:anchorId="1E191F58" wp14:editId="44D42240">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p w14:paraId="48D50B22" w14:textId="77777777" w:rsidR="0032369C" w:rsidRDefault="003236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21E80"/>
    <w:multiLevelType w:val="multilevel"/>
    <w:tmpl w:val="84D8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20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EB"/>
    <w:rsid w:val="000352F9"/>
    <w:rsid w:val="00046745"/>
    <w:rsid w:val="00047735"/>
    <w:rsid w:val="00054D2F"/>
    <w:rsid w:val="00057F15"/>
    <w:rsid w:val="000606BC"/>
    <w:rsid w:val="000D4E07"/>
    <w:rsid w:val="001905C7"/>
    <w:rsid w:val="001C0DC4"/>
    <w:rsid w:val="00221E9A"/>
    <w:rsid w:val="00281E04"/>
    <w:rsid w:val="002F324E"/>
    <w:rsid w:val="0032369C"/>
    <w:rsid w:val="00342274"/>
    <w:rsid w:val="00345CDB"/>
    <w:rsid w:val="003E0B54"/>
    <w:rsid w:val="003E73EB"/>
    <w:rsid w:val="00454F0A"/>
    <w:rsid w:val="004B2235"/>
    <w:rsid w:val="004E0624"/>
    <w:rsid w:val="005123EB"/>
    <w:rsid w:val="00662FC3"/>
    <w:rsid w:val="00696CB2"/>
    <w:rsid w:val="006A30B5"/>
    <w:rsid w:val="006C7477"/>
    <w:rsid w:val="007D25C3"/>
    <w:rsid w:val="00836B33"/>
    <w:rsid w:val="008A195F"/>
    <w:rsid w:val="008A7646"/>
    <w:rsid w:val="00921EAC"/>
    <w:rsid w:val="00941FD7"/>
    <w:rsid w:val="009A7C95"/>
    <w:rsid w:val="009C38F0"/>
    <w:rsid w:val="00A46F81"/>
    <w:rsid w:val="00A53B04"/>
    <w:rsid w:val="00A8383A"/>
    <w:rsid w:val="00A92A5C"/>
    <w:rsid w:val="00AC10EE"/>
    <w:rsid w:val="00B16EA9"/>
    <w:rsid w:val="00B377DB"/>
    <w:rsid w:val="00B502C0"/>
    <w:rsid w:val="00B80942"/>
    <w:rsid w:val="00BE3531"/>
    <w:rsid w:val="00CE345B"/>
    <w:rsid w:val="00D32FB6"/>
    <w:rsid w:val="00D4332A"/>
    <w:rsid w:val="00D61A88"/>
    <w:rsid w:val="00D97F3F"/>
    <w:rsid w:val="00DD249D"/>
    <w:rsid w:val="00DD3F4B"/>
    <w:rsid w:val="00E5217C"/>
    <w:rsid w:val="00E6399C"/>
    <w:rsid w:val="00ED0EF6"/>
    <w:rsid w:val="00F15C90"/>
    <w:rsid w:val="00F80CBB"/>
    <w:rsid w:val="00F81F29"/>
    <w:rsid w:val="00FA7178"/>
    <w:rsid w:val="05D1EAEE"/>
    <w:rsid w:val="0660B14C"/>
    <w:rsid w:val="06657AE0"/>
    <w:rsid w:val="084495E9"/>
    <w:rsid w:val="0A87C435"/>
    <w:rsid w:val="0AFFC9D5"/>
    <w:rsid w:val="0B452151"/>
    <w:rsid w:val="119FE198"/>
    <w:rsid w:val="11FD719A"/>
    <w:rsid w:val="15944F76"/>
    <w:rsid w:val="176FB66E"/>
    <w:rsid w:val="187FBA33"/>
    <w:rsid w:val="188A19E8"/>
    <w:rsid w:val="1967C690"/>
    <w:rsid w:val="197FEE85"/>
    <w:rsid w:val="19A2D32C"/>
    <w:rsid w:val="19DCD5AC"/>
    <w:rsid w:val="1D098C4E"/>
    <w:rsid w:val="1E7462A9"/>
    <w:rsid w:val="1FB4E5A7"/>
    <w:rsid w:val="219178E7"/>
    <w:rsid w:val="24494B84"/>
    <w:rsid w:val="2625A194"/>
    <w:rsid w:val="286A4B8A"/>
    <w:rsid w:val="28E0362D"/>
    <w:rsid w:val="2970EAE6"/>
    <w:rsid w:val="2BEE043C"/>
    <w:rsid w:val="2C438573"/>
    <w:rsid w:val="2D8CE1E7"/>
    <w:rsid w:val="2DD67DC8"/>
    <w:rsid w:val="2E675912"/>
    <w:rsid w:val="303DED6E"/>
    <w:rsid w:val="33A63121"/>
    <w:rsid w:val="359AA703"/>
    <w:rsid w:val="37874261"/>
    <w:rsid w:val="3874A97F"/>
    <w:rsid w:val="3A1BE793"/>
    <w:rsid w:val="4280426D"/>
    <w:rsid w:val="45B057A9"/>
    <w:rsid w:val="46D7E5F8"/>
    <w:rsid w:val="49093E16"/>
    <w:rsid w:val="4A7C4D22"/>
    <w:rsid w:val="4AD4E57C"/>
    <w:rsid w:val="4B803DC2"/>
    <w:rsid w:val="4FF48BF5"/>
    <w:rsid w:val="504BB056"/>
    <w:rsid w:val="5130A130"/>
    <w:rsid w:val="51379B8A"/>
    <w:rsid w:val="5449699A"/>
    <w:rsid w:val="5502EFAA"/>
    <w:rsid w:val="55C7B787"/>
    <w:rsid w:val="567BFB67"/>
    <w:rsid w:val="5700F3B1"/>
    <w:rsid w:val="58FFFF40"/>
    <w:rsid w:val="5BF19D89"/>
    <w:rsid w:val="5E245009"/>
    <w:rsid w:val="62C330D8"/>
    <w:rsid w:val="64B51045"/>
    <w:rsid w:val="65B964F7"/>
    <w:rsid w:val="664FC33C"/>
    <w:rsid w:val="66CCC50E"/>
    <w:rsid w:val="674495D4"/>
    <w:rsid w:val="676D4DA6"/>
    <w:rsid w:val="67BE33D0"/>
    <w:rsid w:val="686BE075"/>
    <w:rsid w:val="68CB1767"/>
    <w:rsid w:val="6A62CB41"/>
    <w:rsid w:val="6CD9AA77"/>
    <w:rsid w:val="72AC0E22"/>
    <w:rsid w:val="7570574C"/>
    <w:rsid w:val="765CED49"/>
    <w:rsid w:val="7BCF3BF5"/>
    <w:rsid w:val="7C0BD268"/>
    <w:rsid w:val="7FC5A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BA87"/>
  <w15:chartTrackingRefBased/>
  <w15:docId w15:val="{BEF62F78-F6C3-4091-8727-F2065BC4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2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2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23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23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23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23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23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23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23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23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23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23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23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23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23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23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23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23EB"/>
    <w:rPr>
      <w:rFonts w:eastAsiaTheme="majorEastAsia" w:cstheme="majorBidi"/>
      <w:color w:val="272727" w:themeColor="text1" w:themeTint="D8"/>
    </w:rPr>
  </w:style>
  <w:style w:type="paragraph" w:styleId="Titel">
    <w:name w:val="Title"/>
    <w:basedOn w:val="Standard"/>
    <w:next w:val="Standard"/>
    <w:link w:val="TitelZchn"/>
    <w:uiPriority w:val="10"/>
    <w:qFormat/>
    <w:rsid w:val="00512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23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23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23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23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23EB"/>
    <w:rPr>
      <w:i/>
      <w:iCs/>
      <w:color w:val="404040" w:themeColor="text1" w:themeTint="BF"/>
    </w:rPr>
  </w:style>
  <w:style w:type="paragraph" w:styleId="Listenabsatz">
    <w:name w:val="List Paragraph"/>
    <w:basedOn w:val="Standard"/>
    <w:uiPriority w:val="34"/>
    <w:qFormat/>
    <w:rsid w:val="005123EB"/>
    <w:pPr>
      <w:ind w:left="720"/>
      <w:contextualSpacing/>
    </w:pPr>
  </w:style>
  <w:style w:type="character" w:styleId="IntensiveHervorhebung">
    <w:name w:val="Intense Emphasis"/>
    <w:basedOn w:val="Absatz-Standardschriftart"/>
    <w:uiPriority w:val="21"/>
    <w:qFormat/>
    <w:rsid w:val="005123EB"/>
    <w:rPr>
      <w:i/>
      <w:iCs/>
      <w:color w:val="0F4761" w:themeColor="accent1" w:themeShade="BF"/>
    </w:rPr>
  </w:style>
  <w:style w:type="paragraph" w:styleId="IntensivesZitat">
    <w:name w:val="Intense Quote"/>
    <w:basedOn w:val="Standard"/>
    <w:next w:val="Standard"/>
    <w:link w:val="IntensivesZitatZchn"/>
    <w:uiPriority w:val="30"/>
    <w:qFormat/>
    <w:rsid w:val="00512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23EB"/>
    <w:rPr>
      <w:i/>
      <w:iCs/>
      <w:color w:val="0F4761" w:themeColor="accent1" w:themeShade="BF"/>
    </w:rPr>
  </w:style>
  <w:style w:type="character" w:styleId="IntensiverVerweis">
    <w:name w:val="Intense Reference"/>
    <w:basedOn w:val="Absatz-Standardschriftart"/>
    <w:uiPriority w:val="32"/>
    <w:qFormat/>
    <w:rsid w:val="005123EB"/>
    <w:rPr>
      <w:b/>
      <w:bCs/>
      <w:smallCaps/>
      <w:color w:val="0F4761" w:themeColor="accent1" w:themeShade="BF"/>
      <w:spacing w:val="5"/>
    </w:rPr>
  </w:style>
  <w:style w:type="character" w:styleId="Hyperlink">
    <w:name w:val="Hyperlink"/>
    <w:basedOn w:val="Absatz-Standardschriftart"/>
    <w:uiPriority w:val="99"/>
    <w:unhideWhenUsed/>
    <w:rsid w:val="005123EB"/>
    <w:rPr>
      <w:color w:val="467886" w:themeColor="hyperlink"/>
      <w:u w:val="single"/>
    </w:rPr>
  </w:style>
  <w:style w:type="character" w:styleId="NichtaufgelsteErwhnung">
    <w:name w:val="Unresolved Mention"/>
    <w:basedOn w:val="Absatz-Standardschriftart"/>
    <w:uiPriority w:val="99"/>
    <w:semiHidden/>
    <w:unhideWhenUsed/>
    <w:rsid w:val="005123EB"/>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941FD7"/>
    <w:pPr>
      <w:spacing w:after="0" w:line="240" w:lineRule="auto"/>
    </w:pPr>
  </w:style>
  <w:style w:type="paragraph" w:styleId="Kopfzeile">
    <w:name w:val="header"/>
    <w:basedOn w:val="Standard"/>
    <w:link w:val="KopfzeileZchn"/>
    <w:unhideWhenUsed/>
    <w:rsid w:val="0032369C"/>
    <w:pPr>
      <w:tabs>
        <w:tab w:val="center" w:pos="4536"/>
        <w:tab w:val="right" w:pos="9072"/>
      </w:tabs>
      <w:spacing w:after="0" w:line="240" w:lineRule="auto"/>
    </w:pPr>
  </w:style>
  <w:style w:type="character" w:customStyle="1" w:styleId="KopfzeileZchn">
    <w:name w:val="Kopfzeile Zchn"/>
    <w:basedOn w:val="Absatz-Standardschriftart"/>
    <w:link w:val="Kopfzeile"/>
    <w:rsid w:val="0032369C"/>
  </w:style>
  <w:style w:type="paragraph" w:styleId="Fuzeile">
    <w:name w:val="footer"/>
    <w:basedOn w:val="Standard"/>
    <w:link w:val="FuzeileZchn"/>
    <w:uiPriority w:val="99"/>
    <w:unhideWhenUsed/>
    <w:rsid w:val="003236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02673">
      <w:bodyDiv w:val="1"/>
      <w:marLeft w:val="0"/>
      <w:marRight w:val="0"/>
      <w:marTop w:val="0"/>
      <w:marBottom w:val="0"/>
      <w:divBdr>
        <w:top w:val="none" w:sz="0" w:space="0" w:color="auto"/>
        <w:left w:val="none" w:sz="0" w:space="0" w:color="auto"/>
        <w:bottom w:val="none" w:sz="0" w:space="0" w:color="auto"/>
        <w:right w:val="none" w:sz="0" w:space="0" w:color="auto"/>
      </w:divBdr>
    </w:div>
    <w:div w:id="13274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idmueller.com/sustainability-broch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idmueller.com/int/company/our_company/who_we_are/index.j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0bd676-2fa1-4f90-9075-fcc9bbed01ad" xsi:nil="true"/>
    <lcf76f155ced4ddcb4097134ff3c332f xmlns="dde8b94e-0d97-4c33-9139-0fa9dfaada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8CBF7-0543-456B-85CB-A721D9760B4A}">
  <ds:schemaRefs>
    <ds:schemaRef ds:uri="http://schemas.microsoft.com/sharepoint/v3/contenttype/forms"/>
  </ds:schemaRefs>
</ds:datastoreItem>
</file>

<file path=customXml/itemProps2.xml><?xml version="1.0" encoding="utf-8"?>
<ds:datastoreItem xmlns:ds="http://schemas.openxmlformats.org/officeDocument/2006/customXml" ds:itemID="{0AB80DF4-4DD0-4898-B0F6-0FEBBE2BD585}">
  <ds:schemaRefs>
    <ds:schemaRef ds:uri="http://purl.org/dc/elements/1.1/"/>
    <ds:schemaRef ds:uri="ef0bd676-2fa1-4f90-9075-fcc9bbed01ad"/>
    <ds:schemaRef ds:uri="http://schemas.openxmlformats.org/package/2006/metadata/core-properties"/>
    <ds:schemaRef ds:uri="dde8b94e-0d97-4c33-9139-0fa9dfaadae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8829E8C-A1C0-49B0-AB43-D8B41C35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2685</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Bayer, Katharina</cp:lastModifiedBy>
  <cp:revision>2</cp:revision>
  <dcterms:created xsi:type="dcterms:W3CDTF">2025-11-18T13:31:00Z</dcterms:created>
  <dcterms:modified xsi:type="dcterms:W3CDTF">2025-11-18T13:31:00Z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