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F6403" w:rsidR="00521283" w:rsidP="29512189" w:rsidRDefault="004425F5" w14:paraId="398A92CC" w14:textId="4A30BE65">
      <w:pPr>
        <w:jc w:val="both"/>
        <w:outlineLvl w:val="0"/>
        <w:rPr>
          <w:rFonts w:cs="Arial"/>
          <w:color w:val="0A0A0A"/>
          <w:kern w:val="36"/>
          <w:sz w:val="20"/>
          <w:lang w:val="de-DE" w:eastAsia="de-DE"/>
        </w:rPr>
      </w:pPr>
      <w:r w:rsidRPr="004425F5">
        <w:rPr>
          <w:rFonts w:eastAsia="Arial"/>
          <w:b/>
          <w:bCs/>
          <w:lang w:val="de-DE"/>
        </w:rPr>
        <w:t>Monitoring-Lösungen für Photovoltaikanlagen</w:t>
      </w:r>
    </w:p>
    <w:p w:rsidR="004B698E" w:rsidP="2C5FE5BE" w:rsidRDefault="004425F5" w14:paraId="0B72D023" w14:textId="0569092B">
      <w:pPr>
        <w:pStyle w:val="Standard"/>
        <w:spacing w:line="360" w:lineRule="auto"/>
        <w:rPr>
          <w:rFonts w:eastAsia="Arial"/>
          <w:color w:val="000000" w:themeColor="text1"/>
          <w:lang w:val="de-DE"/>
        </w:rPr>
      </w:pPr>
      <w:r w:rsidRPr="2C5FE5BE" w:rsidR="004425F5">
        <w:rPr>
          <w:rFonts w:eastAsia="Arial"/>
          <w:color w:val="000000" w:themeColor="text1" w:themeTint="FF" w:themeShade="FF"/>
          <w:lang w:val="de-DE"/>
        </w:rPr>
        <w:t xml:space="preserve">Effizienzsteigerung mit PV-Nachrüst-Generatoranschlusskästen und </w:t>
      </w:r>
      <w:r w:rsidRPr="2C5FE5BE" w:rsidR="004425F5">
        <w:rPr>
          <w:rFonts w:eastAsia="Arial"/>
          <w:color w:val="000000" w:themeColor="text1" w:themeTint="FF" w:themeShade="FF"/>
          <w:lang w:val="de-DE"/>
        </w:rPr>
        <w:t>PV</w:t>
      </w:r>
      <w:r w:rsidRPr="2C5FE5BE" w:rsidR="49FA82BC">
        <w:rPr>
          <w:rFonts w:eastAsia="Arial"/>
          <w:color w:val="000000" w:themeColor="text1" w:themeTint="FF" w:themeShade="FF"/>
          <w:lang w:val="de-DE"/>
        </w:rPr>
        <w:t>-</w:t>
      </w:r>
      <w:r w:rsidRPr="2C5FE5BE" w:rsidR="004425F5">
        <w:rPr>
          <w:rFonts w:eastAsia="Arial"/>
          <w:color w:val="000000" w:themeColor="text1" w:themeTint="FF" w:themeShade="FF"/>
          <w:lang w:val="de-DE"/>
        </w:rPr>
        <w:t>Wetterstationen</w:t>
      </w:r>
      <w:r w:rsidRPr="2C5FE5BE" w:rsidR="004425F5">
        <w:rPr>
          <w:rFonts w:eastAsia="Arial"/>
          <w:color w:val="000000" w:themeColor="text1" w:themeTint="FF" w:themeShade="FF"/>
          <w:lang w:val="de-DE"/>
        </w:rPr>
        <w:t xml:space="preserve"> von Weidmüller</w:t>
      </w:r>
    </w:p>
    <w:p w:rsidR="2C5FE5BE" w:rsidP="2C5FE5BE" w:rsidRDefault="2C5FE5BE" w14:paraId="517F3FA9" w14:textId="0FFD5A58">
      <w:pPr>
        <w:pStyle w:val="Standard"/>
        <w:spacing w:line="360" w:lineRule="auto"/>
        <w:rPr>
          <w:rFonts w:eastAsia="Arial"/>
          <w:i w:val="1"/>
          <w:iCs w:val="1"/>
          <w:color w:val="000000" w:themeColor="text1" w:themeTint="FF" w:themeShade="FF"/>
          <w:lang w:val="de-DE"/>
        </w:rPr>
      </w:pPr>
    </w:p>
    <w:p w:rsidR="28B5E81C" w:rsidP="2C5FE5BE" w:rsidRDefault="28B5E81C" w14:paraId="6F0FAFE1" w14:textId="63666A47">
      <w:pPr>
        <w:pStyle w:val="Standard"/>
        <w:spacing w:line="360" w:lineRule="auto"/>
        <w:rPr>
          <w:rFonts w:eastAsia="Arial" w:cs="Arial"/>
          <w:i w:val="1"/>
          <w:iCs w:val="1"/>
          <w:color w:val="000000" w:themeColor="text1" w:themeTint="FF" w:themeShade="FF"/>
          <w:lang w:val="de-DE"/>
        </w:rPr>
      </w:pPr>
      <w:r w:rsidRPr="2C5FE5BE" w:rsidR="28B5E81C">
        <w:rPr>
          <w:rFonts w:eastAsia="Arial"/>
          <w:i w:val="1"/>
          <w:iCs w:val="1"/>
          <w:color w:val="000000" w:themeColor="text1" w:themeTint="FF" w:themeShade="FF"/>
          <w:lang w:val="de-DE"/>
        </w:rPr>
        <w:t>Photovoltaiksysteme stellen einen zentralen Baustein der Energiewende dar. Um das volle Potenzial dieser Anlagen zu erschließen, sind präzises Monitoring und eine robuste Datenbasis unerlässlich. Retrofit-Lösungen für String-Monitoring und PV-Wetterstationen ermöglichen es, bestehende PV-Freiflächenanlagen effizienter zu betreiben und so deren Wirtschaftlichkeit deutlich zu steigern.</w:t>
      </w:r>
    </w:p>
    <w:p w:rsidR="00AB1FA8" w:rsidP="00311FE5" w:rsidRDefault="00AB1FA8" w14:paraId="025DD346" w14:textId="77777777">
      <w:pPr>
        <w:spacing w:line="360" w:lineRule="auto"/>
        <w:rPr>
          <w:rFonts w:eastAsia="Arial" w:cs="Arial"/>
          <w:color w:val="000000" w:themeColor="text1"/>
          <w:szCs w:val="22"/>
          <w:lang w:val="de-DE"/>
        </w:rPr>
      </w:pPr>
    </w:p>
    <w:p w:rsidRPr="00ED79C0" w:rsidR="00ED79C0" w:rsidP="2C5FE5BE" w:rsidRDefault="003864F1" w14:paraId="28FF8781" w14:textId="1B4D178C">
      <w:pPr>
        <w:pStyle w:val="paragraph"/>
        <w:spacing w:before="0" w:beforeAutospacing="off" w:after="0" w:afterAutospacing="off" w:line="360" w:lineRule="auto"/>
        <w:textAlignment w:val="baseline"/>
        <w:rPr>
          <w:rStyle w:val="normaltextrun"/>
          <w:rFonts w:ascii="Arial" w:hAnsi="Arial" w:cs="Arial"/>
          <w:b w:val="1"/>
          <w:bCs w:val="1"/>
          <w:sz w:val="22"/>
          <w:szCs w:val="22"/>
        </w:rPr>
      </w:pPr>
      <w:r w:rsidRPr="2C5FE5BE" w:rsidR="3EF36520">
        <w:rPr>
          <w:rStyle w:val="normaltextrun"/>
          <w:rFonts w:ascii="Arial" w:hAnsi="Arial" w:cs="Arial"/>
          <w:b w:val="1"/>
          <w:bCs w:val="1"/>
          <w:sz w:val="22"/>
          <w:szCs w:val="22"/>
        </w:rPr>
        <w:t>Retrofit-Monitoring als Schlüssel zur Performance-Optimierung</w:t>
      </w:r>
    </w:p>
    <w:p w:rsidRPr="00ED79C0" w:rsidR="00ED79C0" w:rsidP="2C5FE5BE" w:rsidRDefault="003864F1" w14:paraId="4C574A8F" w14:textId="6C13A31D">
      <w:pPr>
        <w:pStyle w:val="paragraph"/>
        <w:spacing w:before="0" w:beforeAutospacing="off" w:after="0" w:afterAutospacing="off" w:line="360" w:lineRule="auto"/>
        <w:textAlignment w:val="baseline"/>
      </w:pPr>
      <w:r w:rsidRPr="2C5FE5BE" w:rsidR="3EF36520">
        <w:rPr>
          <w:rStyle w:val="normaltextrun"/>
          <w:rFonts w:ascii="Arial" w:hAnsi="Arial" w:cs="Arial"/>
          <w:sz w:val="22"/>
          <w:szCs w:val="22"/>
        </w:rPr>
        <w:t>In vielen älteren PV-Anlagen wurde auf eine String-spezifische Überwachung verzichtet – eine Entscheidung, die sich heute häufig als Effizienzbremse herausstellt. Das sogenannte Zone</w:t>
      </w:r>
      <w:r w:rsidRPr="2C5FE5BE" w:rsidR="1F343B95">
        <w:rPr>
          <w:rStyle w:val="normaltextrun"/>
          <w:rFonts w:ascii="Arial" w:hAnsi="Arial" w:cs="Arial"/>
          <w:sz w:val="22"/>
          <w:szCs w:val="22"/>
        </w:rPr>
        <w:t>n</w:t>
      </w:r>
      <w:r w:rsidRPr="2C5FE5BE" w:rsidR="3EF36520">
        <w:rPr>
          <w:rStyle w:val="normaltextrun"/>
          <w:rFonts w:ascii="Arial" w:hAnsi="Arial" w:cs="Arial"/>
          <w:sz w:val="22"/>
          <w:szCs w:val="22"/>
        </w:rPr>
        <w:t>-Monitoring, also die Überwachung auf Wechselrichtereingangsebene, reicht nicht aus, um Fehler auf Modulebene zuverlässig zu identifizieren. Betreiber laufen so Gefahr, Mindererträge über lange Zeiträume hinweg nicht zu erkennen.</w:t>
      </w:r>
    </w:p>
    <w:p w:rsidRPr="00ED79C0" w:rsidR="00ED79C0" w:rsidP="2C5FE5BE" w:rsidRDefault="003864F1" w14:paraId="71634376" w14:textId="23B3605E">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535C186A" w14:textId="24CFA5AD">
      <w:pPr>
        <w:pStyle w:val="paragraph"/>
        <w:spacing w:before="0" w:beforeAutospacing="off" w:after="0" w:afterAutospacing="off" w:line="360" w:lineRule="auto"/>
        <w:textAlignment w:val="baseline"/>
      </w:pPr>
      <w:r w:rsidRPr="2C5FE5BE" w:rsidR="3EF36520">
        <w:rPr>
          <w:rStyle w:val="normaltextrun"/>
          <w:rFonts w:ascii="Arial" w:hAnsi="Arial" w:cs="Arial"/>
          <w:sz w:val="22"/>
          <w:szCs w:val="22"/>
        </w:rPr>
        <w:t xml:space="preserve">Hier setzen die Retrofit-Lösungen von Weidmüller an. Mit nachrüstbaren PV-Generatoranschlusskästen inklusive String-Monitoring lassen sich Anlagen gezielt aufrüsten. Die Erfassung auf String-Ebene erlaubt eine detaillierte Fehleranalyse, minimiert </w:t>
      </w:r>
      <w:r w:rsidRPr="2C5FE5BE" w:rsidR="3EF36520">
        <w:rPr>
          <w:rStyle w:val="normaltextrun"/>
          <w:rFonts w:ascii="Arial" w:hAnsi="Arial" w:cs="Arial"/>
          <w:sz w:val="22"/>
          <w:szCs w:val="22"/>
        </w:rPr>
        <w:t>Stillstandszeiten</w:t>
      </w:r>
      <w:r w:rsidRPr="2C5FE5BE" w:rsidR="3EF36520">
        <w:rPr>
          <w:rStyle w:val="normaltextrun"/>
          <w:rFonts w:ascii="Arial" w:hAnsi="Arial" w:cs="Arial"/>
          <w:sz w:val="22"/>
          <w:szCs w:val="22"/>
        </w:rPr>
        <w:t xml:space="preserve"> und erhöht die Performance Ratio (PR) der Anlage nachhaltig.</w:t>
      </w:r>
    </w:p>
    <w:p w:rsidRPr="00ED79C0" w:rsidR="00ED79C0" w:rsidP="2C5FE5BE" w:rsidRDefault="003864F1" w14:paraId="62C1190B" w14:textId="13EFD5A3">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28FEF472" w14:textId="05CCDA54">
      <w:pPr>
        <w:pStyle w:val="paragraph"/>
        <w:spacing w:before="0" w:beforeAutospacing="off" w:after="0" w:afterAutospacing="off" w:line="360" w:lineRule="auto"/>
        <w:textAlignment w:val="baseline"/>
        <w:rPr>
          <w:rStyle w:val="normaltextrun"/>
          <w:rFonts w:ascii="Arial" w:hAnsi="Arial" w:cs="Arial"/>
          <w:b w:val="1"/>
          <w:bCs w:val="1"/>
          <w:sz w:val="22"/>
          <w:szCs w:val="22"/>
        </w:rPr>
      </w:pPr>
      <w:r w:rsidRPr="2C5FE5BE" w:rsidR="3EF36520">
        <w:rPr>
          <w:rStyle w:val="normaltextrun"/>
          <w:rFonts w:ascii="Arial" w:hAnsi="Arial" w:cs="Arial"/>
          <w:b w:val="1"/>
          <w:bCs w:val="1"/>
          <w:sz w:val="22"/>
          <w:szCs w:val="22"/>
        </w:rPr>
        <w:t>Technische Umsetzung: Flexibel, skalierbar und drahtlos</w:t>
      </w:r>
    </w:p>
    <w:p w:rsidRPr="00ED79C0" w:rsidR="00ED79C0" w:rsidP="2C5FE5BE" w:rsidRDefault="003864F1" w14:paraId="36855C4A" w14:textId="12EC5BB2">
      <w:pPr>
        <w:pStyle w:val="paragraph"/>
        <w:spacing w:before="0" w:beforeAutospacing="off" w:after="0" w:afterAutospacing="off" w:line="360" w:lineRule="auto"/>
        <w:textAlignment w:val="baseline"/>
      </w:pPr>
      <w:r w:rsidRPr="06C2835F" w:rsidR="3EF36520">
        <w:rPr>
          <w:rStyle w:val="normaltextrun"/>
          <w:rFonts w:ascii="Arial" w:hAnsi="Arial" w:cs="Arial"/>
          <w:sz w:val="22"/>
          <w:szCs w:val="22"/>
        </w:rPr>
        <w:t xml:space="preserve">Weidmüller bietet modulare Monitoring-Komponenten mit 8 bis 12 Eingängen, die sich auf bis zu 32 Strings erweitern lassen. Dank drahtloser Kommunikation via </w:t>
      </w:r>
      <w:r w:rsidRPr="06C2835F" w:rsidR="3EF36520">
        <w:rPr>
          <w:rStyle w:val="normaltextrun"/>
          <w:rFonts w:ascii="Arial" w:hAnsi="Arial" w:cs="Arial"/>
          <w:sz w:val="22"/>
          <w:szCs w:val="22"/>
        </w:rPr>
        <w:t>LoRaWAN</w:t>
      </w:r>
      <w:r w:rsidRPr="06C2835F" w:rsidR="3EF36520">
        <w:rPr>
          <w:rStyle w:val="normaltextrun"/>
          <w:rFonts w:ascii="Arial" w:hAnsi="Arial" w:cs="Arial"/>
          <w:sz w:val="22"/>
          <w:szCs w:val="22"/>
        </w:rPr>
        <w:t xml:space="preserve">® entfällt der Bedarf an zusätzlichen Datenleitungen – das reduziert sowohl Installationsaufwand als auch Wartungskosten. Die Systeme sind für Ströme von bis zu 50 </w:t>
      </w:r>
      <w:r w:rsidRPr="06C2835F" w:rsidR="3EF36520">
        <w:rPr>
          <w:rStyle w:val="normaltextrun"/>
          <w:rFonts w:ascii="Arial" w:hAnsi="Arial" w:cs="Arial"/>
          <w:sz w:val="22"/>
          <w:szCs w:val="22"/>
        </w:rPr>
        <w:t>ADC</w:t>
      </w:r>
      <w:r w:rsidRPr="06C2835F" w:rsidR="3EF36520">
        <w:rPr>
          <w:rStyle w:val="normaltextrun"/>
          <w:rFonts w:ascii="Arial" w:hAnsi="Arial" w:cs="Arial"/>
          <w:sz w:val="22"/>
          <w:szCs w:val="22"/>
        </w:rPr>
        <w:t xml:space="preserve"> ausgelegt und lassen sich direkt in bestehende DC-Generatoranschlusskästen integrieren.</w:t>
      </w:r>
    </w:p>
    <w:p w:rsidRPr="00ED79C0" w:rsidR="00ED79C0" w:rsidP="2C5FE5BE" w:rsidRDefault="003864F1" w14:paraId="5FBCA5D2" w14:textId="3B9F0A88">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06C2835F" w:rsidRDefault="003864F1" w14:paraId="281C952F" w14:textId="2A99E580">
      <w:pPr>
        <w:pStyle w:val="paragraph"/>
        <w:spacing w:before="0" w:beforeAutospacing="off" w:after="0" w:afterAutospacing="off" w:line="360" w:lineRule="auto"/>
        <w:textAlignment w:val="baseline"/>
        <w:rPr>
          <w:rStyle w:val="normaltextrun"/>
          <w:rFonts w:ascii="Arial" w:hAnsi="Arial" w:cs="Arial"/>
          <w:sz w:val="22"/>
          <w:szCs w:val="22"/>
        </w:rPr>
      </w:pPr>
      <w:r w:rsidRPr="06C2835F" w:rsidR="3EF36520">
        <w:rPr>
          <w:rStyle w:val="normaltextrun"/>
          <w:rFonts w:ascii="Arial" w:hAnsi="Arial" w:cs="Arial"/>
          <w:sz w:val="22"/>
          <w:szCs w:val="22"/>
        </w:rPr>
        <w:t>Alternativ stehen fertig konzipierte Nachrüst-Boxen zur Verfügung. Diese ermöglichen eine schnelle Montage in unmittelbarer Nähe zu bestehenden Anschlusskästen. Varianten mit unterschiedliche</w:t>
      </w:r>
      <w:r w:rsidRPr="06C2835F" w:rsidR="6C96EE9E">
        <w:rPr>
          <w:rStyle w:val="normaltextrun"/>
          <w:rFonts w:ascii="Arial" w:hAnsi="Arial" w:cs="Arial"/>
          <w:sz w:val="22"/>
          <w:szCs w:val="22"/>
        </w:rPr>
        <w:t>r</w:t>
      </w:r>
      <w:r w:rsidRPr="06C2835F" w:rsidR="3EF36520">
        <w:rPr>
          <w:rStyle w:val="normaltextrun"/>
          <w:rFonts w:ascii="Arial" w:hAnsi="Arial" w:cs="Arial"/>
          <w:sz w:val="22"/>
          <w:szCs w:val="22"/>
        </w:rPr>
        <w:t xml:space="preserve"> </w:t>
      </w:r>
      <w:r w:rsidRPr="06C2835F" w:rsidR="42695858">
        <w:rPr>
          <w:rStyle w:val="normaltextrun"/>
          <w:rFonts w:ascii="Arial" w:hAnsi="Arial" w:cs="Arial"/>
          <w:sz w:val="22"/>
          <w:szCs w:val="22"/>
        </w:rPr>
        <w:t xml:space="preserve">Anzahl an Eingängen </w:t>
      </w:r>
      <w:r w:rsidRPr="06C2835F" w:rsidR="3EF36520">
        <w:rPr>
          <w:rStyle w:val="normaltextrun"/>
          <w:rFonts w:ascii="Arial" w:hAnsi="Arial" w:cs="Arial"/>
          <w:sz w:val="22"/>
          <w:szCs w:val="22"/>
        </w:rPr>
        <w:t>und</w:t>
      </w:r>
      <w:r w:rsidRPr="06C2835F" w:rsidR="1C3388EA">
        <w:rPr>
          <w:rStyle w:val="normaltextrun"/>
          <w:rFonts w:ascii="Arial" w:hAnsi="Arial" w:cs="Arial"/>
          <w:sz w:val="22"/>
          <w:szCs w:val="22"/>
        </w:rPr>
        <w:t xml:space="preserve"> verschiedenen</w:t>
      </w:r>
      <w:r w:rsidRPr="06C2835F" w:rsidR="3EF36520">
        <w:rPr>
          <w:rStyle w:val="normaltextrun"/>
          <w:rFonts w:ascii="Arial" w:hAnsi="Arial" w:cs="Arial"/>
          <w:sz w:val="22"/>
          <w:szCs w:val="22"/>
        </w:rPr>
        <w:t xml:space="preserve"> Anschlussarten (PV-Steckverbinder oder Kabelverschraubungen) bieten hohe Flexibilität bei der Nachrüstung.</w:t>
      </w:r>
    </w:p>
    <w:p w:rsidRPr="00ED79C0" w:rsidR="00ED79C0" w:rsidP="2C5FE5BE" w:rsidRDefault="003864F1" w14:paraId="31BA760E" w14:textId="1E9BDD7E">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7E9E56A6" w14:textId="35F718A2">
      <w:pPr>
        <w:pStyle w:val="paragraph"/>
        <w:spacing w:before="0" w:beforeAutospacing="off" w:after="0" w:afterAutospacing="off" w:line="360" w:lineRule="auto"/>
        <w:textAlignment w:val="baseline"/>
        <w:rPr>
          <w:rStyle w:val="normaltextrun"/>
          <w:rFonts w:ascii="Arial" w:hAnsi="Arial" w:cs="Arial"/>
          <w:b w:val="1"/>
          <w:bCs w:val="1"/>
          <w:sz w:val="22"/>
          <w:szCs w:val="22"/>
        </w:rPr>
      </w:pPr>
      <w:r w:rsidRPr="2C5FE5BE" w:rsidR="3EF36520">
        <w:rPr>
          <w:rStyle w:val="normaltextrun"/>
          <w:rFonts w:ascii="Arial" w:hAnsi="Arial" w:cs="Arial"/>
          <w:b w:val="1"/>
          <w:bCs w:val="1"/>
          <w:sz w:val="22"/>
          <w:szCs w:val="22"/>
        </w:rPr>
        <w:t>Monitoring auch ohne SCADA-System</w:t>
      </w:r>
    </w:p>
    <w:p w:rsidRPr="00ED79C0" w:rsidR="00ED79C0" w:rsidP="2C5FE5BE" w:rsidRDefault="003864F1" w14:paraId="4AB8F147" w14:textId="34F8A202">
      <w:pPr>
        <w:pStyle w:val="paragraph"/>
        <w:spacing w:before="0" w:beforeAutospacing="off" w:after="0" w:afterAutospacing="off" w:line="360" w:lineRule="auto"/>
        <w:textAlignment w:val="baseline"/>
      </w:pPr>
      <w:r w:rsidRPr="2C5FE5BE" w:rsidR="3EF36520">
        <w:rPr>
          <w:rStyle w:val="normaltextrun"/>
          <w:rFonts w:ascii="Arial" w:hAnsi="Arial" w:cs="Arial"/>
          <w:sz w:val="22"/>
          <w:szCs w:val="22"/>
        </w:rPr>
        <w:t>Weidmüller-Lösungen sind sowohl mit Modbus/RTU als auch Modbus/TCP kompatibel, wodurch eine einfache Integration in bestehende SCADA-Systeme möglich ist. Alternativ steht ein eigenständiges</w:t>
      </w:r>
      <w:r w:rsidRPr="2C5FE5BE" w:rsidR="35A217A2">
        <w:rPr>
          <w:rStyle w:val="normaltextrun"/>
          <w:rFonts w:ascii="Arial" w:hAnsi="Arial" w:cs="Arial"/>
          <w:sz w:val="22"/>
          <w:szCs w:val="22"/>
        </w:rPr>
        <w:t xml:space="preserve"> </w:t>
      </w:r>
      <w:r w:rsidRPr="2C5FE5BE" w:rsidR="3EF36520">
        <w:rPr>
          <w:rStyle w:val="normaltextrun"/>
          <w:rFonts w:ascii="Arial" w:hAnsi="Arial" w:cs="Arial"/>
          <w:sz w:val="22"/>
          <w:szCs w:val="22"/>
        </w:rPr>
        <w:t>Kommunikationsmodul zur Verfügung, das die Daten unabhängig von SCADA-Infrastrukturen erfassen, speichern und bei Bedarf in die Cloud übertragen kann. So profitieren insbesondere kleinere Betreiber von umfassender Überwachung, ohne in zusätzliche IT-Infrastruktur investieren zu müssen.</w:t>
      </w:r>
    </w:p>
    <w:p w:rsidRPr="00ED79C0" w:rsidR="00ED79C0" w:rsidP="2C5FE5BE" w:rsidRDefault="003864F1" w14:paraId="78750D86" w14:textId="66506909">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6F0F8A15" w14:textId="7E894A65">
      <w:pPr>
        <w:pStyle w:val="paragraph"/>
        <w:spacing w:before="0" w:beforeAutospacing="off" w:after="0" w:afterAutospacing="off" w:line="360" w:lineRule="auto"/>
        <w:textAlignment w:val="baseline"/>
      </w:pPr>
      <w:r w:rsidRPr="06C2835F" w:rsidR="3EF36520">
        <w:rPr>
          <w:rStyle w:val="normaltextrun"/>
          <w:rFonts w:ascii="Arial" w:hAnsi="Arial" w:cs="Arial"/>
          <w:sz w:val="22"/>
          <w:szCs w:val="22"/>
        </w:rPr>
        <w:t xml:space="preserve">Die Einhaltung der </w:t>
      </w:r>
      <w:r w:rsidRPr="06C2835F" w:rsidR="3EF36520">
        <w:rPr>
          <w:rStyle w:val="normaltextrun"/>
          <w:rFonts w:ascii="Arial" w:hAnsi="Arial" w:cs="Arial"/>
          <w:sz w:val="22"/>
          <w:szCs w:val="22"/>
        </w:rPr>
        <w:t xml:space="preserve">Norm IEC 61724-1-ed2.0 </w:t>
      </w:r>
      <w:r w:rsidRPr="06C2835F" w:rsidR="3EF36520">
        <w:rPr>
          <w:rStyle w:val="normaltextrun"/>
          <w:rFonts w:ascii="Arial" w:hAnsi="Arial" w:cs="Arial"/>
          <w:sz w:val="22"/>
          <w:szCs w:val="22"/>
        </w:rPr>
        <w:t>zur Datenerfassung und -speicherung sorgt zudem für einen standardisierten und nachvollziehbaren Datenzugriff. Durch die Einbindung in Cloud-Dienste eröffnen sich weiterführende Anwendungen wie prädiktive Wartung und Energieertragsprognosen.</w:t>
      </w:r>
    </w:p>
    <w:p w:rsidRPr="00ED79C0" w:rsidR="00ED79C0" w:rsidP="2C5FE5BE" w:rsidRDefault="003864F1" w14:paraId="0E845E70" w14:textId="5732C8B1">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08F9CE14" w14:textId="71AD971F">
      <w:pPr>
        <w:pStyle w:val="paragraph"/>
        <w:spacing w:before="0" w:beforeAutospacing="off" w:after="0" w:afterAutospacing="off" w:line="360" w:lineRule="auto"/>
        <w:textAlignment w:val="baseline"/>
        <w:rPr>
          <w:rStyle w:val="normaltextrun"/>
          <w:rFonts w:ascii="Arial" w:hAnsi="Arial" w:cs="Arial"/>
          <w:b w:val="1"/>
          <w:bCs w:val="1"/>
          <w:sz w:val="22"/>
          <w:szCs w:val="22"/>
        </w:rPr>
      </w:pPr>
      <w:r w:rsidRPr="2C5FE5BE" w:rsidR="3EF36520">
        <w:rPr>
          <w:rStyle w:val="normaltextrun"/>
          <w:rFonts w:ascii="Arial" w:hAnsi="Arial" w:cs="Arial"/>
          <w:b w:val="1"/>
          <w:bCs w:val="1"/>
          <w:sz w:val="22"/>
          <w:szCs w:val="22"/>
        </w:rPr>
        <w:t>Ergänzung durch PV-Wetterstationen: Kontext für die Daten</w:t>
      </w:r>
    </w:p>
    <w:p w:rsidRPr="00ED79C0" w:rsidR="00ED79C0" w:rsidP="2C5FE5BE" w:rsidRDefault="003864F1" w14:paraId="1A3316E8" w14:textId="508C5A00">
      <w:pPr>
        <w:pStyle w:val="paragraph"/>
        <w:spacing w:before="0" w:beforeAutospacing="off" w:after="0" w:afterAutospacing="off" w:line="360" w:lineRule="auto"/>
        <w:textAlignment w:val="baseline"/>
      </w:pPr>
      <w:r w:rsidRPr="06C2835F" w:rsidR="3EF36520">
        <w:rPr>
          <w:rStyle w:val="normaltextrun"/>
          <w:rFonts w:ascii="Arial" w:hAnsi="Arial" w:cs="Arial"/>
          <w:sz w:val="22"/>
          <w:szCs w:val="22"/>
        </w:rPr>
        <w:t xml:space="preserve">Neben der reinen Stromüberwachung liefert </w:t>
      </w:r>
      <w:r w:rsidRPr="06C2835F" w:rsidR="3EF36520">
        <w:rPr>
          <w:rStyle w:val="normaltextrun"/>
          <w:rFonts w:ascii="Arial" w:hAnsi="Arial" w:cs="Arial"/>
          <w:sz w:val="22"/>
          <w:szCs w:val="22"/>
        </w:rPr>
        <w:t>d</w:t>
      </w:r>
      <w:r w:rsidRPr="06C2835F" w:rsidR="27B4F10C">
        <w:rPr>
          <w:rStyle w:val="normaltextrun"/>
          <w:rFonts w:ascii="Arial" w:hAnsi="Arial" w:cs="Arial"/>
          <w:sz w:val="22"/>
          <w:szCs w:val="22"/>
        </w:rPr>
        <w:t xml:space="preserve">er Einbezug </w:t>
      </w:r>
      <w:r w:rsidRPr="06C2835F" w:rsidR="3EF36520">
        <w:rPr>
          <w:rStyle w:val="normaltextrun"/>
          <w:rFonts w:ascii="Arial" w:hAnsi="Arial" w:cs="Arial"/>
          <w:sz w:val="22"/>
          <w:szCs w:val="22"/>
        </w:rPr>
        <w:t>von Wetterdaten wertvolle Zusatzinformationen zur Bewertung der PV-Anlagenleistung. Weidmüller bietet hierfür Wetterstationen, die alle relevanten Umweltparameter erfassen – darunter Solarstrahlung (</w:t>
      </w:r>
      <w:r w:rsidRPr="06C2835F" w:rsidR="66B7913C">
        <w:rPr>
          <w:rStyle w:val="normaltextrun"/>
          <w:rFonts w:ascii="Arial" w:hAnsi="Arial" w:cs="Arial"/>
          <w:sz w:val="22"/>
          <w:szCs w:val="22"/>
        </w:rPr>
        <w:t xml:space="preserve">sowohl globale horizontale als auch </w:t>
      </w:r>
      <w:r w:rsidRPr="06C2835F" w:rsidR="3EF36520">
        <w:rPr>
          <w:rStyle w:val="normaltextrun"/>
          <w:rFonts w:ascii="Arial" w:hAnsi="Arial" w:cs="Arial"/>
          <w:sz w:val="22"/>
          <w:szCs w:val="22"/>
        </w:rPr>
        <w:t>Modulfeldebene</w:t>
      </w:r>
      <w:r w:rsidRPr="06C2835F" w:rsidR="3EF36520">
        <w:rPr>
          <w:rStyle w:val="normaltextrun"/>
          <w:rFonts w:ascii="Arial" w:hAnsi="Arial" w:cs="Arial"/>
          <w:sz w:val="22"/>
          <w:szCs w:val="22"/>
        </w:rPr>
        <w:t>), Modul- und Umgebungstemperatur, Windrichtung und -geschwindigkeit, Luftfeuchtigkeit, Luftdruck und Niederschlag.</w:t>
      </w:r>
    </w:p>
    <w:p w:rsidRPr="00ED79C0" w:rsidR="00ED79C0" w:rsidP="2C5FE5BE" w:rsidRDefault="003864F1" w14:paraId="2503ED44" w14:textId="2DCF13EB">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316ACA96" w14:textId="7A09EAEB">
      <w:pPr>
        <w:pStyle w:val="paragraph"/>
        <w:spacing w:before="0" w:beforeAutospacing="off" w:after="0" w:afterAutospacing="off" w:line="360" w:lineRule="auto"/>
        <w:textAlignment w:val="baseline"/>
        <w:rPr>
          <w:rStyle w:val="normaltextrun"/>
          <w:rFonts w:ascii="Arial" w:hAnsi="Arial" w:cs="Arial"/>
          <w:sz w:val="22"/>
          <w:szCs w:val="22"/>
        </w:rPr>
      </w:pPr>
      <w:r w:rsidRPr="2C5FE5BE" w:rsidR="3EF36520">
        <w:rPr>
          <w:rStyle w:val="normaltextrun"/>
          <w:rFonts w:ascii="Arial" w:hAnsi="Arial" w:cs="Arial"/>
          <w:sz w:val="22"/>
          <w:szCs w:val="22"/>
        </w:rPr>
        <w:t xml:space="preserve">Die robusten </w:t>
      </w:r>
      <w:r w:rsidRPr="2C5FE5BE" w:rsidR="31A3D1F4">
        <w:rPr>
          <w:rStyle w:val="normaltextrun"/>
          <w:rFonts w:ascii="Arial" w:hAnsi="Arial" w:cs="Arial"/>
          <w:sz w:val="22"/>
          <w:szCs w:val="22"/>
        </w:rPr>
        <w:t>PV-Wetters</w:t>
      </w:r>
      <w:r w:rsidRPr="2C5FE5BE" w:rsidR="3EF36520">
        <w:rPr>
          <w:rStyle w:val="normaltextrun"/>
          <w:rFonts w:ascii="Arial" w:hAnsi="Arial" w:cs="Arial"/>
          <w:sz w:val="22"/>
          <w:szCs w:val="22"/>
        </w:rPr>
        <w:t xml:space="preserve">tationen lassen sich modular an Kundenanforderungen anpassen und sind mit einer Vielzahl marktgängiger Sensoren kompatibel (u.a. von </w:t>
      </w:r>
      <w:r w:rsidRPr="2C5FE5BE" w:rsidR="3EF36520">
        <w:rPr>
          <w:rStyle w:val="normaltextrun"/>
          <w:rFonts w:ascii="Arial" w:hAnsi="Arial" w:cs="Arial"/>
          <w:sz w:val="22"/>
          <w:szCs w:val="22"/>
        </w:rPr>
        <w:t>Hukseflux</w:t>
      </w:r>
      <w:r w:rsidRPr="2C5FE5BE" w:rsidR="3EF36520">
        <w:rPr>
          <w:rStyle w:val="normaltextrun"/>
          <w:rFonts w:ascii="Arial" w:hAnsi="Arial" w:cs="Arial"/>
          <w:sz w:val="22"/>
          <w:szCs w:val="22"/>
        </w:rPr>
        <w:t xml:space="preserve">, Kipp &amp; Zonen, </w:t>
      </w:r>
      <w:r w:rsidRPr="2C5FE5BE" w:rsidR="3EF36520">
        <w:rPr>
          <w:rStyle w:val="normaltextrun"/>
          <w:rFonts w:ascii="Arial" w:hAnsi="Arial" w:cs="Arial"/>
          <w:sz w:val="22"/>
          <w:szCs w:val="22"/>
        </w:rPr>
        <w:t>Lufft</w:t>
      </w:r>
      <w:r w:rsidRPr="2C5FE5BE" w:rsidR="3EF36520">
        <w:rPr>
          <w:rStyle w:val="normaltextrun"/>
          <w:rFonts w:ascii="Arial" w:hAnsi="Arial" w:cs="Arial"/>
          <w:sz w:val="22"/>
          <w:szCs w:val="22"/>
        </w:rPr>
        <w:t>). Über gängige Protokolle wie Modbus werden die Daten direkt in das SCADA-System oder eine externe Datenplattform übertragen.</w:t>
      </w:r>
    </w:p>
    <w:p w:rsidRPr="00ED79C0" w:rsidR="00ED79C0" w:rsidP="2C5FE5BE" w:rsidRDefault="003864F1" w14:paraId="3A7280AA" w14:textId="393801E6">
      <w:pPr>
        <w:pStyle w:val="paragraph"/>
        <w:spacing w:before="0" w:beforeAutospacing="off" w:after="0" w:afterAutospacing="off" w:line="360" w:lineRule="auto"/>
        <w:textAlignment w:val="baseline"/>
        <w:rPr>
          <w:rStyle w:val="normaltextrun"/>
          <w:rFonts w:ascii="Arial" w:hAnsi="Arial" w:cs="Arial"/>
          <w:sz w:val="22"/>
          <w:szCs w:val="22"/>
        </w:rPr>
      </w:pPr>
    </w:p>
    <w:p w:rsidRPr="00ED79C0" w:rsidR="00ED79C0" w:rsidP="2C5FE5BE" w:rsidRDefault="003864F1" w14:paraId="1ED0605E" w14:textId="559F6333">
      <w:pPr>
        <w:pStyle w:val="paragraph"/>
        <w:spacing w:before="0" w:beforeAutospacing="off" w:after="0" w:afterAutospacing="off" w:line="360" w:lineRule="auto"/>
        <w:textAlignment w:val="baseline"/>
        <w:rPr>
          <w:rStyle w:val="normaltextrun"/>
          <w:rFonts w:ascii="Arial" w:hAnsi="Arial" w:cs="Arial"/>
          <w:b w:val="1"/>
          <w:bCs w:val="1"/>
          <w:sz w:val="22"/>
          <w:szCs w:val="22"/>
        </w:rPr>
      </w:pPr>
      <w:r w:rsidRPr="2C5FE5BE" w:rsidR="3EF36520">
        <w:rPr>
          <w:rStyle w:val="normaltextrun"/>
          <w:rFonts w:ascii="Arial" w:hAnsi="Arial" w:cs="Arial"/>
          <w:b w:val="1"/>
          <w:bCs w:val="1"/>
          <w:sz w:val="22"/>
          <w:szCs w:val="22"/>
        </w:rPr>
        <w:t>Nachhaltige Ertragsoptimierung durch gezielte Nachrüstung</w:t>
      </w:r>
    </w:p>
    <w:p w:rsidRPr="00ED79C0" w:rsidR="00ED79C0" w:rsidP="2C5FE5BE" w:rsidRDefault="003864F1" w14:paraId="7B89C63D" w14:textId="5977A88A">
      <w:pPr>
        <w:pStyle w:val="paragraph"/>
        <w:spacing w:before="0" w:beforeAutospacing="off" w:after="0" w:afterAutospacing="off" w:line="360" w:lineRule="auto"/>
        <w:textAlignment w:val="baseline"/>
      </w:pPr>
      <w:r w:rsidRPr="2C5FE5BE" w:rsidR="3EF36520">
        <w:rPr>
          <w:rStyle w:val="normaltextrun"/>
          <w:rFonts w:ascii="Arial" w:hAnsi="Arial" w:cs="Arial"/>
          <w:sz w:val="22"/>
          <w:szCs w:val="22"/>
        </w:rPr>
        <w:t>Die Kombination aus Retrofit-Generatoranschlusskästen mit String-Monitoring und PV-Wetterstationen erlaubt eine tiefgreifende Analyse der Anlagenperformance. Betreiber erhalten die Möglichkeit, Schwachstellen frühzeitig zu identifizieren, Wartungsmaßnahmen gezielter einzuleiten und die Energieausbeute zu maximieren. Gerade im Kontext steigender Anforderungen an Transparenz und Rentabilität stellt dies einen entscheidenden Wettbewerbsvorteil dar – nicht nur für neue, sondern insbesondere für bestehende PV-Anlagen.</w:t>
      </w:r>
    </w:p>
    <w:p w:rsidRPr="00ED79C0" w:rsidR="00ED79C0" w:rsidP="2C5FE5BE" w:rsidRDefault="003864F1" w14:paraId="3C602163" w14:textId="6E1D1F12">
      <w:pPr>
        <w:pStyle w:val="paragraph"/>
        <w:spacing w:before="0" w:beforeAutospacing="off" w:after="0" w:afterAutospacing="off" w:line="360" w:lineRule="auto"/>
        <w:textAlignment w:val="baseline"/>
        <w:rPr>
          <w:rFonts w:ascii="Arial" w:hAnsi="Arial" w:eastAsia="Arial" w:cs="Arial"/>
          <w:color w:val="000000" w:themeColor="text1"/>
          <w:sz w:val="22"/>
          <w:szCs w:val="22"/>
          <w:lang w:eastAsia="en-US"/>
        </w:rPr>
      </w:pPr>
      <w:r w:rsidRPr="2C5FE5BE" w:rsidR="003864F1">
        <w:rPr>
          <w:rStyle w:val="normaltextrun"/>
          <w:rFonts w:ascii="Arial" w:hAnsi="Arial" w:cs="Arial"/>
          <w:sz w:val="22"/>
          <w:szCs w:val="22"/>
        </w:rPr>
        <w:t xml:space="preserve"> </w:t>
      </w:r>
    </w:p>
    <w:p w:rsidR="00C225F3" w:rsidP="284CE0F4" w:rsidRDefault="00C225F3" w14:paraId="4498869F" w14:textId="77777777">
      <w:pPr>
        <w:spacing w:line="360" w:lineRule="auto"/>
        <w:ind w:right="-851"/>
        <w:jc w:val="both"/>
        <w:rPr>
          <w:rFonts w:eastAsia="Arial" w:cs="Arial"/>
          <w:color w:val="000000" w:themeColor="text1"/>
          <w:sz w:val="18"/>
          <w:szCs w:val="18"/>
          <w:lang w:val="de-DE"/>
        </w:rPr>
      </w:pPr>
    </w:p>
    <w:p w:rsidR="0D2465AE" w:rsidP="284CE0F4" w:rsidRDefault="00792A01" w14:paraId="31A02795" w14:textId="19A1E764">
      <w:pPr>
        <w:spacing w:line="360" w:lineRule="auto"/>
        <w:ind w:right="-851"/>
        <w:jc w:val="both"/>
        <w:rPr>
          <w:rFonts w:eastAsia="Arial" w:cs="Arial"/>
          <w:sz w:val="18"/>
          <w:szCs w:val="18"/>
          <w:lang w:val="de-DE"/>
        </w:rPr>
      </w:pPr>
      <w:r w:rsidRPr="06C2835F" w:rsidR="00792A01">
        <w:rPr>
          <w:rFonts w:eastAsia="Arial" w:cs="Arial"/>
          <w:sz w:val="18"/>
          <w:szCs w:val="18"/>
          <w:lang w:val="de-DE"/>
        </w:rPr>
        <w:t>4</w:t>
      </w:r>
      <w:r w:rsidRPr="06C2835F" w:rsidR="5A6AC826">
        <w:rPr>
          <w:rFonts w:eastAsia="Arial" w:cs="Arial"/>
          <w:sz w:val="18"/>
          <w:szCs w:val="18"/>
          <w:lang w:val="de-DE"/>
        </w:rPr>
        <w:t>.2</w:t>
      </w:r>
      <w:r w:rsidRPr="06C2835F" w:rsidR="6A151B4F">
        <w:rPr>
          <w:rFonts w:eastAsia="Arial" w:cs="Arial"/>
          <w:sz w:val="18"/>
          <w:szCs w:val="18"/>
          <w:lang w:val="de-DE"/>
        </w:rPr>
        <w:t>92</w:t>
      </w:r>
      <w:r w:rsidRPr="06C2835F" w:rsidR="0D2465AE">
        <w:rPr>
          <w:rFonts w:eastAsia="Arial" w:cs="Arial"/>
          <w:sz w:val="18"/>
          <w:szCs w:val="18"/>
          <w:lang w:val="de-DE"/>
        </w:rPr>
        <w:t xml:space="preserve"> Zeichen inklusive Leerzeichen</w:t>
      </w:r>
    </w:p>
    <w:p w:rsidR="00F81494" w:rsidP="284CE0F4" w:rsidRDefault="00F81494" w14:paraId="6BDED2C8" w14:textId="77777777">
      <w:pPr>
        <w:spacing w:line="360" w:lineRule="auto"/>
        <w:ind w:right="-851"/>
        <w:jc w:val="both"/>
        <w:rPr>
          <w:rFonts w:eastAsia="Arial" w:cs="Arial"/>
          <w:sz w:val="18"/>
          <w:szCs w:val="18"/>
          <w:lang w:val="de-DE"/>
        </w:rPr>
      </w:pPr>
    </w:p>
    <w:p w:rsidRPr="004406D0" w:rsidR="00592579" w:rsidP="2C5FE5BE" w:rsidRDefault="00F81494" w14:paraId="01080359" w14:textId="254B0A6E">
      <w:pPr>
        <w:spacing w:line="360" w:lineRule="auto"/>
        <w:ind w:right="-851"/>
        <w:rPr>
          <w:rFonts w:eastAsia="Arial" w:cs="Arial"/>
          <w:sz w:val="18"/>
          <w:szCs w:val="18"/>
          <w:lang w:val="de-DE"/>
        </w:rPr>
      </w:pPr>
      <w:r w:rsidRPr="2C5FE5BE" w:rsidR="00F81494">
        <w:rPr>
          <w:rFonts w:eastAsia="Arial" w:cs="Arial"/>
          <w:sz w:val="18"/>
          <w:szCs w:val="18"/>
          <w:lang w:val="de-DE"/>
        </w:rPr>
        <w:t xml:space="preserve">Alle Bilder stehen Ihnen zur freien Verfügung. Sie können </w:t>
      </w:r>
      <w:r w:rsidRPr="2C5FE5BE" w:rsidR="00241536">
        <w:rPr>
          <w:rFonts w:eastAsia="Arial" w:cs="Arial"/>
          <w:sz w:val="18"/>
          <w:szCs w:val="18"/>
          <w:lang w:val="de-DE"/>
        </w:rPr>
        <w:t>s</w:t>
      </w:r>
      <w:r w:rsidRPr="2C5FE5BE" w:rsidR="00F81494">
        <w:rPr>
          <w:rFonts w:eastAsia="Arial" w:cs="Arial"/>
          <w:sz w:val="18"/>
          <w:szCs w:val="18"/>
          <w:lang w:val="de-DE"/>
        </w:rPr>
        <w:t>ie unter folgendem Link herunterladen:</w:t>
      </w:r>
      <w:r w:rsidRPr="2C5FE5BE" w:rsidR="318590F5">
        <w:rPr>
          <w:rFonts w:eastAsia="Arial" w:cs="Arial"/>
          <w:sz w:val="18"/>
          <w:szCs w:val="18"/>
          <w:lang w:val="de-DE"/>
        </w:rPr>
        <w:t xml:space="preserve"> </w:t>
      </w:r>
      <w:hyperlink r:id="R894c23a808bc4409">
        <w:r w:rsidRPr="2C5FE5BE" w:rsidR="318590F5">
          <w:rPr>
            <w:rStyle w:val="Hyperlink"/>
            <w:rFonts w:eastAsia="Arial" w:cs="Arial"/>
            <w:sz w:val="18"/>
            <w:szCs w:val="18"/>
            <w:lang w:val="de-DE"/>
          </w:rPr>
          <w:t>https://www.picdrop.com/weidmueller/trZjewXt5k</w:t>
        </w:r>
      </w:hyperlink>
    </w:p>
    <w:p w:rsidRPr="004406D0" w:rsidR="00592579" w:rsidP="00592579" w:rsidRDefault="00F81494" w14:paraId="15F51866" w14:textId="1D388D2C">
      <w:pPr>
        <w:spacing w:line="360" w:lineRule="auto"/>
        <w:ind w:right="-851"/>
        <w:rPr>
          <w:rFonts w:eastAsia="Arial" w:cs="Arial"/>
          <w:sz w:val="18"/>
          <w:szCs w:val="18"/>
          <w:lang w:val="de-DE"/>
        </w:rPr>
      </w:pPr>
      <w:r w:rsidRPr="2C5FE5BE" w:rsidR="00592579">
        <w:rPr>
          <w:rFonts w:eastAsia="Arial" w:cs="Arial"/>
          <w:sz w:val="18"/>
          <w:szCs w:val="18"/>
          <w:lang w:val="de-DE"/>
        </w:rPr>
        <w:t>Bildquelle: Weidmüller</w:t>
      </w:r>
    </w:p>
    <w:p w:rsidR="00F8557B" w:rsidP="00F81494" w:rsidRDefault="00F8557B" w14:paraId="76A7EF1F" w14:textId="77777777">
      <w:pPr>
        <w:spacing w:line="360" w:lineRule="auto"/>
        <w:ind w:right="-851"/>
        <w:rPr>
          <w:rFonts w:eastAsia="Arial" w:cs="Arial"/>
          <w:sz w:val="18"/>
          <w:szCs w:val="18"/>
          <w:lang w:val="de-DE"/>
        </w:rPr>
      </w:pPr>
    </w:p>
    <w:p w:rsidR="0070680D" w:rsidP="2C5FE5BE" w:rsidRDefault="0070680D" w14:paraId="4879D9DA" w14:textId="572BF453">
      <w:pPr>
        <w:spacing w:line="360" w:lineRule="auto"/>
        <w:ind w:right="-851"/>
        <w:rPr>
          <w:rFonts w:eastAsia="Arial" w:cs="Arial"/>
          <w:color w:val="000000" w:themeColor="text1" w:themeTint="FF" w:themeShade="FF"/>
          <w:sz w:val="20"/>
          <w:szCs w:val="20"/>
          <w:lang w:val="de-DE"/>
        </w:rPr>
      </w:pPr>
      <w:r w:rsidR="2EADD00A">
        <w:drawing>
          <wp:inline wp14:editId="186B148D" wp14:anchorId="446B4F74">
            <wp:extent cx="4048125" cy="2278063"/>
            <wp:effectExtent l="0" t="0" r="0" b="0"/>
            <wp:docPr id="1040211345" name="" title=""/>
            <wp:cNvGraphicFramePr>
              <a:graphicFrameLocks noChangeAspect="1"/>
            </wp:cNvGraphicFramePr>
            <a:graphic>
              <a:graphicData uri="http://schemas.openxmlformats.org/drawingml/2006/picture">
                <pic:pic>
                  <pic:nvPicPr>
                    <pic:cNvPr id="0" name=""/>
                    <pic:cNvPicPr/>
                  </pic:nvPicPr>
                  <pic:blipFill>
                    <a:blip r:embed="Rfca3e59c34fc41e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048125" cy="2278063"/>
                    </a:xfrm>
                    <a:prstGeom prst="rect">
                      <a:avLst/>
                    </a:prstGeom>
                  </pic:spPr>
                </pic:pic>
              </a:graphicData>
            </a:graphic>
          </wp:inline>
        </w:drawing>
      </w:r>
      <w:r>
        <w:br/>
      </w:r>
      <w:r w:rsidRPr="06C2835F" w:rsidR="2EADD00A">
        <w:rPr>
          <w:rFonts w:ascii="Arial" w:hAnsi="Arial" w:eastAsia="Arial" w:cs="Arial"/>
          <w:color w:val="000000" w:themeColor="text1" w:themeTint="FF" w:themeShade="FF"/>
          <w:sz w:val="20"/>
          <w:szCs w:val="20"/>
          <w:lang w:val="de-DE" w:eastAsia="en-US" w:bidi="ar-SA"/>
        </w:rPr>
        <w:t xml:space="preserve">Bildunterschrift: </w:t>
      </w:r>
      <w:r w:rsidRPr="06C2835F" w:rsidR="2EADD00A">
        <w:rPr>
          <w:rFonts w:ascii="Arial" w:hAnsi="Arial" w:eastAsia="Arial" w:cs="Arial"/>
          <w:color w:val="000000" w:themeColor="text1" w:themeTint="FF" w:themeShade="FF"/>
          <w:sz w:val="20"/>
          <w:szCs w:val="20"/>
          <w:lang w:val="de-DE" w:eastAsia="en-US" w:bidi="ar-SA"/>
        </w:rPr>
        <w:t>P</w:t>
      </w:r>
      <w:r w:rsidRPr="06C2835F" w:rsidR="2EADD00A">
        <w:rPr>
          <w:rFonts w:eastAsia="Arial" w:cs="Arial"/>
          <w:color w:val="000000" w:themeColor="text1" w:themeTint="FF" w:themeShade="FF"/>
          <w:sz w:val="20"/>
          <w:szCs w:val="20"/>
          <w:lang w:val="de-DE"/>
        </w:rPr>
        <w:t>V-Nachrüst-Generatoranschlusskästen mit String-Monitoring von Weidmüller sorgen für bessere Messbarkeit und Effizienzsteigerung.</w:t>
      </w:r>
    </w:p>
    <w:p w:rsidR="2D929D0C" w:rsidP="06C2835F" w:rsidRDefault="2D929D0C" w14:paraId="222A5C17" w14:textId="35840303">
      <w:pPr>
        <w:spacing w:line="360" w:lineRule="auto"/>
        <w:ind w:right="-851"/>
        <w:rPr>
          <w:rFonts w:eastAsia="Arial" w:cs="Arial"/>
          <w:color w:val="000000" w:themeColor="text1" w:themeTint="FF" w:themeShade="FF"/>
          <w:sz w:val="20"/>
          <w:szCs w:val="20"/>
          <w:lang w:val="de-DE"/>
        </w:rPr>
      </w:pPr>
      <w:r w:rsidR="2D929D0C">
        <w:drawing>
          <wp:inline wp14:editId="061DD084" wp14:anchorId="467E6350">
            <wp:extent cx="3505198" cy="3505198"/>
            <wp:effectExtent l="0" t="0" r="0" b="0"/>
            <wp:docPr id="1103143035" name="" title=""/>
            <wp:cNvGraphicFramePr>
              <a:graphicFrameLocks noChangeAspect="1"/>
            </wp:cNvGraphicFramePr>
            <a:graphic>
              <a:graphicData uri="http://schemas.openxmlformats.org/drawingml/2006/picture">
                <pic:pic>
                  <pic:nvPicPr>
                    <pic:cNvPr id="0" name=""/>
                    <pic:cNvPicPr/>
                  </pic:nvPicPr>
                  <pic:blipFill>
                    <a:blip r:embed="R1d1eec33d4b14f2c">
                      <a:extLst>
                        <a:ext xmlns:a="http://schemas.openxmlformats.org/drawingml/2006/main" uri="{28A0092B-C50C-407E-A947-70E740481C1C}">
                          <a14:useLocalDpi val="0"/>
                        </a:ext>
                      </a:extLst>
                    </a:blip>
                    <a:stretch>
                      <a:fillRect/>
                    </a:stretch>
                  </pic:blipFill>
                  <pic:spPr>
                    <a:xfrm>
                      <a:off x="0" y="0"/>
                      <a:ext cx="3505198" cy="3505198"/>
                    </a:xfrm>
                    <a:prstGeom prst="rect">
                      <a:avLst/>
                    </a:prstGeom>
                  </pic:spPr>
                </pic:pic>
              </a:graphicData>
            </a:graphic>
          </wp:inline>
        </w:drawing>
      </w:r>
    </w:p>
    <w:p w:rsidR="2D929D0C" w:rsidP="06C2835F" w:rsidRDefault="2D929D0C" w14:paraId="54460A0F" w14:textId="4F282565">
      <w:pPr>
        <w:spacing w:line="360" w:lineRule="auto"/>
        <w:ind w:right="-851"/>
        <w:rPr>
          <w:rFonts w:eastAsia="Arial" w:cs="Arial"/>
          <w:color w:val="000000" w:themeColor="text1" w:themeTint="FF" w:themeShade="FF"/>
          <w:sz w:val="20"/>
          <w:szCs w:val="20"/>
          <w:lang w:val="de-DE"/>
        </w:rPr>
      </w:pPr>
      <w:r w:rsidRPr="06C2835F" w:rsidR="2D929D0C">
        <w:rPr>
          <w:rFonts w:ascii="Arial" w:hAnsi="Arial" w:eastAsia="Arial" w:cs="Arial"/>
          <w:color w:val="000000" w:themeColor="text1" w:themeTint="FF" w:themeShade="FF"/>
          <w:sz w:val="20"/>
          <w:szCs w:val="20"/>
          <w:lang w:val="de-DE" w:eastAsia="en-US" w:bidi="ar-SA"/>
        </w:rPr>
        <w:t xml:space="preserve">Bildunterschrift: Die Erfassung auf String-Ebene erlaubt eine detaillierte Fehleranalyse, minimiert </w:t>
      </w:r>
      <w:r w:rsidRPr="06C2835F" w:rsidR="2D929D0C">
        <w:rPr>
          <w:rFonts w:ascii="Arial" w:hAnsi="Arial" w:eastAsia="Arial" w:cs="Arial"/>
          <w:color w:val="000000" w:themeColor="text1" w:themeTint="FF" w:themeShade="FF"/>
          <w:sz w:val="20"/>
          <w:szCs w:val="20"/>
          <w:lang w:val="de-DE" w:eastAsia="en-US" w:bidi="ar-SA"/>
        </w:rPr>
        <w:t>Stillstandszeiten</w:t>
      </w:r>
      <w:r w:rsidRPr="06C2835F" w:rsidR="2D929D0C">
        <w:rPr>
          <w:rFonts w:ascii="Arial" w:hAnsi="Arial" w:eastAsia="Arial" w:cs="Arial"/>
          <w:color w:val="000000" w:themeColor="text1" w:themeTint="FF" w:themeShade="FF"/>
          <w:sz w:val="20"/>
          <w:szCs w:val="20"/>
          <w:lang w:val="de-DE" w:eastAsia="en-US" w:bidi="ar-SA"/>
        </w:rPr>
        <w:t xml:space="preserve"> und erhöht die Performance Ratio (PR) der Anlage nachhaltig.</w:t>
      </w:r>
    </w:p>
    <w:p w:rsidR="06C2835F" w:rsidP="06C2835F" w:rsidRDefault="06C2835F" w14:paraId="31DE10A7" w14:textId="69EF318D">
      <w:pPr>
        <w:spacing w:line="360" w:lineRule="auto"/>
        <w:ind w:right="-851"/>
        <w:rPr>
          <w:rFonts w:ascii="Arial" w:hAnsi="Arial" w:eastAsia="Arial" w:cs="Arial"/>
          <w:color w:val="000000" w:themeColor="text1" w:themeTint="FF" w:themeShade="FF"/>
          <w:sz w:val="20"/>
          <w:szCs w:val="20"/>
          <w:lang w:val="de-DE" w:eastAsia="en-US" w:bidi="ar-SA"/>
        </w:rPr>
      </w:pPr>
    </w:p>
    <w:p w:rsidR="0004366A" w:rsidP="00F81494" w:rsidRDefault="0070680D" w14:paraId="2ADA0979" w14:textId="701A6E32">
      <w:pPr>
        <w:spacing w:line="360" w:lineRule="auto"/>
        <w:ind w:right="-851"/>
      </w:pPr>
      <w:r w:rsidR="6CA40DDE">
        <w:drawing>
          <wp:inline wp14:editId="7D78404C" wp14:anchorId="39AE8105">
            <wp:extent cx="3919538" cy="2163032"/>
            <wp:effectExtent l="0" t="0" r="0" b="0"/>
            <wp:docPr id="2033922677" name="" title=""/>
            <wp:cNvGraphicFramePr>
              <a:graphicFrameLocks noChangeAspect="1"/>
            </wp:cNvGraphicFramePr>
            <a:graphic>
              <a:graphicData uri="http://schemas.openxmlformats.org/drawingml/2006/picture">
                <pic:pic>
                  <pic:nvPicPr>
                    <pic:cNvPr id="0" name=""/>
                    <pic:cNvPicPr/>
                  </pic:nvPicPr>
                  <pic:blipFill>
                    <a:blip r:embed="R5f45d51eb02245d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919538" cy="2163032"/>
                    </a:xfrm>
                    <a:prstGeom prst="rect">
                      <a:avLst/>
                    </a:prstGeom>
                  </pic:spPr>
                </pic:pic>
              </a:graphicData>
            </a:graphic>
          </wp:inline>
        </w:drawing>
      </w:r>
    </w:p>
    <w:p w:rsidR="00005A83" w:rsidP="2C5FE5BE" w:rsidRDefault="00234A32" w14:paraId="18AC7B32" w14:textId="04E807B7">
      <w:pPr>
        <w:spacing w:line="360" w:lineRule="auto"/>
        <w:rPr>
          <w:rFonts w:eastAsia="Arial" w:cs="Arial"/>
          <w:sz w:val="20"/>
          <w:szCs w:val="20"/>
          <w:lang w:val="de-DE"/>
        </w:rPr>
      </w:pPr>
      <w:r w:rsidRPr="2C5FE5BE" w:rsidR="00234A32">
        <w:rPr>
          <w:rFonts w:eastAsia="Arial" w:cs="Arial"/>
          <w:color w:val="000000" w:themeColor="text1" w:themeTint="FF" w:themeShade="FF"/>
          <w:sz w:val="20"/>
          <w:szCs w:val="20"/>
          <w:lang w:val="de-DE"/>
        </w:rPr>
        <w:t xml:space="preserve">Bildunterschrift: </w:t>
      </w:r>
      <w:r w:rsidRPr="2C5FE5BE" w:rsidR="4ED4DC51">
        <w:rPr>
          <w:rFonts w:eastAsia="Arial" w:cs="Arial"/>
          <w:color w:val="000000" w:themeColor="text1" w:themeTint="FF" w:themeShade="FF"/>
          <w:sz w:val="20"/>
          <w:szCs w:val="20"/>
          <w:lang w:val="de-DE"/>
        </w:rPr>
        <w:t xml:space="preserve">Die </w:t>
      </w:r>
      <w:r w:rsidRPr="2C5FE5BE" w:rsidR="1B40537F">
        <w:rPr>
          <w:rFonts w:eastAsia="Arial" w:cs="Arial"/>
          <w:color w:val="000000" w:themeColor="text1" w:themeTint="FF" w:themeShade="FF"/>
          <w:sz w:val="20"/>
          <w:szCs w:val="20"/>
          <w:lang w:val="de-DE"/>
        </w:rPr>
        <w:t xml:space="preserve">modularen </w:t>
      </w:r>
      <w:r w:rsidRPr="2C5FE5BE" w:rsidR="4ED4DC51">
        <w:rPr>
          <w:rFonts w:eastAsia="Arial" w:cs="Arial"/>
          <w:color w:val="000000" w:themeColor="text1" w:themeTint="FF" w:themeShade="FF"/>
          <w:sz w:val="20"/>
          <w:szCs w:val="20"/>
          <w:lang w:val="de-DE"/>
        </w:rPr>
        <w:t xml:space="preserve">PV-Wetterstationen </w:t>
      </w:r>
      <w:r w:rsidRPr="2C5FE5BE" w:rsidR="6345378C">
        <w:rPr>
          <w:rFonts w:eastAsia="Arial" w:cs="Arial"/>
          <w:color w:val="000000" w:themeColor="text1" w:themeTint="FF" w:themeShade="FF"/>
          <w:sz w:val="20"/>
          <w:szCs w:val="20"/>
          <w:lang w:val="de-DE"/>
        </w:rPr>
        <w:t xml:space="preserve">von </w:t>
      </w:r>
      <w:r w:rsidRPr="2C5FE5BE" w:rsidR="4ED4DC51">
        <w:rPr>
          <w:rFonts w:eastAsia="Arial" w:cs="Arial"/>
          <w:color w:val="000000" w:themeColor="text1" w:themeTint="FF" w:themeShade="FF"/>
          <w:sz w:val="20"/>
          <w:szCs w:val="20"/>
          <w:lang w:val="de-DE"/>
        </w:rPr>
        <w:t xml:space="preserve">Weidmüller </w:t>
      </w:r>
      <w:r w:rsidRPr="2C5FE5BE" w:rsidR="762793C7">
        <w:rPr>
          <w:rFonts w:eastAsia="Arial" w:cs="Arial"/>
          <w:color w:val="000000" w:themeColor="text1" w:themeTint="FF" w:themeShade="FF"/>
          <w:sz w:val="20"/>
          <w:szCs w:val="20"/>
          <w:lang w:val="de-DE"/>
        </w:rPr>
        <w:t>sind für die flexible Integration mit SCADA-Systemen und verschiedenen Datenerfassungsplattformen über branchenübliche Kommunikationsprotokolle wie Modbus RTU und TCP ausgerichtet.</w:t>
      </w:r>
    </w:p>
    <w:p w:rsidRPr="007A3D7C" w:rsidR="002F01C7" w:rsidP="002F01C7" w:rsidRDefault="002F01C7" w14:paraId="14D77892" w14:textId="77777777" w14:noSpellErr="1">
      <w:pPr>
        <w:spacing w:line="360" w:lineRule="auto"/>
        <w:ind w:right="-851"/>
        <w:rPr>
          <w:rFonts w:eastAsia="Arial" w:cs="Arial"/>
          <w:sz w:val="18"/>
          <w:szCs w:val="18"/>
          <w:lang w:val="de-DE"/>
        </w:rPr>
      </w:pPr>
    </w:p>
    <w:p w:rsidR="2C5FE5BE" w:rsidP="2C5FE5BE" w:rsidRDefault="2C5FE5BE" w14:paraId="30B9FCBA" w14:textId="122D57E1">
      <w:pPr>
        <w:spacing w:line="360" w:lineRule="auto"/>
        <w:ind w:right="-851"/>
        <w:rPr>
          <w:rFonts w:eastAsia="Arial" w:cs="Arial"/>
          <w:sz w:val="18"/>
          <w:szCs w:val="18"/>
          <w:lang w:val="de-DE"/>
        </w:rPr>
      </w:pPr>
    </w:p>
    <w:p w:rsidRPr="007E7050" w:rsidR="002F01C7" w:rsidP="1235D614" w:rsidRDefault="002F01C7" w14:paraId="191A0F08" w14:textId="16D81D7C">
      <w:pPr>
        <w:pStyle w:val="Standard"/>
        <w:spacing w:line="360" w:lineRule="auto"/>
        <w:ind w:right="-851"/>
        <w:rPr>
          <w:rFonts w:eastAsia="Arial" w:cs="Arial"/>
          <w:sz w:val="18"/>
          <w:szCs w:val="18"/>
          <w:lang w:val="de-DE"/>
        </w:rPr>
      </w:pPr>
    </w:p>
    <w:p w:rsidR="002B53FE" w:rsidRDefault="002B53FE" w14:paraId="7ECFE0AF" w14:textId="48BCF7A7">
      <w:pPr>
        <w:rPr>
          <w:rFonts w:eastAsia="Arial" w:cs="Arial"/>
          <w:b/>
          <w:sz w:val="18"/>
          <w:szCs w:val="18"/>
          <w:lang w:val="de-DE"/>
        </w:rPr>
      </w:pPr>
    </w:p>
    <w:p w:rsidRPr="00A857F9" w:rsidR="002B53FE" w:rsidP="002B53FE" w:rsidRDefault="002B53FE" w14:paraId="152AE3C1" w14:textId="77777777">
      <w:pPr>
        <w:tabs>
          <w:tab w:val="left" w:pos="1701"/>
        </w:tabs>
        <w:spacing w:line="360" w:lineRule="auto"/>
        <w:rPr>
          <w:rFonts w:eastAsia="Arial" w:cs="Arial"/>
          <w:b/>
          <w:sz w:val="18"/>
          <w:szCs w:val="18"/>
          <w:lang w:val="de-DE"/>
        </w:rPr>
      </w:pPr>
      <w:r w:rsidRPr="00A857F9">
        <w:rPr>
          <w:rFonts w:eastAsia="Arial" w:cs="Arial"/>
          <w:b/>
          <w:sz w:val="18"/>
          <w:szCs w:val="18"/>
          <w:lang w:val="de-DE"/>
        </w:rPr>
        <w:t>Die Weidmüller-Gruppe</w:t>
      </w:r>
    </w:p>
    <w:p w:rsidRPr="002B53FE" w:rsidR="00A857F9" w:rsidP="002B53FE" w:rsidRDefault="00A857F9" w14:paraId="6353B998" w14:textId="77777777">
      <w:pPr>
        <w:tabs>
          <w:tab w:val="left" w:pos="1701"/>
        </w:tabs>
        <w:spacing w:line="360" w:lineRule="auto"/>
        <w:rPr>
          <w:rFonts w:eastAsia="Arial" w:cs="Arial"/>
          <w:b/>
          <w:sz w:val="18"/>
          <w:szCs w:val="18"/>
          <w:lang w:val="de-DE"/>
        </w:rPr>
      </w:pPr>
    </w:p>
    <w:p w:rsidRPr="00A857F9" w:rsidR="002B53FE" w:rsidP="00A857F9" w:rsidRDefault="002B53FE" w14:paraId="29701A30" w14:textId="7DA82DF3">
      <w:pPr>
        <w:spacing w:line="360" w:lineRule="auto"/>
        <w:rPr>
          <w:rFonts w:eastAsia="Arial" w:cs="Arial"/>
          <w:color w:val="000000" w:themeColor="text1"/>
          <w:sz w:val="18"/>
          <w:szCs w:val="18"/>
          <w:lang w:val="de-DE"/>
        </w:rPr>
      </w:pPr>
      <w:r w:rsidRPr="00A857F9">
        <w:rPr>
          <w:rFonts w:eastAsia="Arial" w:cs="Arial"/>
          <w:color w:val="000000" w:themeColor="text1"/>
          <w:sz w:val="18"/>
          <w:szCs w:val="18"/>
          <w:lang w:val="de-DE"/>
        </w:rPr>
        <w:t xml:space="preserve">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w:t>
      </w:r>
      <w:r w:rsidRPr="00A857F9">
        <w:rPr>
          <w:rFonts w:eastAsia="Arial" w:cs="Arial"/>
          <w:color w:val="000000" w:themeColor="text1"/>
          <w:sz w:val="18"/>
          <w:szCs w:val="18"/>
          <w:lang w:val="de-DE"/>
        </w:rPr>
        <w:lastRenderedPageBreak/>
        <w:t>rund 6.000 Mitarbeiterinnen und Mitarbeitern weltweit – davon ca. 2.000 am Stammsitz in Detmold, inmitten von Ostwestfalen-Lippe. Dabei lebt Weidmüller </w:t>
      </w:r>
      <w:hyperlink w:history="1" w:anchor="wm-1245006" r:id="rId12">
        <w:r w:rsidRPr="00A857F9">
          <w:rPr>
            <w:rStyle w:val="Hyperlink"/>
            <w:sz w:val="18"/>
            <w:szCs w:val="18"/>
            <w:lang w:val="de-DE"/>
          </w:rPr>
          <w:t>Vielfalt mit Respekt</w:t>
        </w:r>
      </w:hyperlink>
      <w:r w:rsidRPr="00A857F9">
        <w:rPr>
          <w:rFonts w:eastAsia="Arial" w:cs="Arial"/>
          <w:color w:val="000000" w:themeColor="text1"/>
          <w:sz w:val="18"/>
          <w:szCs w:val="18"/>
          <w:lang w:val="de-DE"/>
        </w:rPr>
        <w:t>.</w:t>
      </w:r>
    </w:p>
    <w:p w:rsidR="00A857F9" w:rsidP="00A857F9" w:rsidRDefault="00A857F9" w14:paraId="10D9724E" w14:textId="77777777">
      <w:pPr>
        <w:pStyle w:val="StandardWeb"/>
        <w:shd w:val="clear" w:color="auto" w:fill="FFFFFF"/>
        <w:spacing w:line="360" w:lineRule="auto"/>
        <w:rPr>
          <w:rFonts w:ascii="Arial" w:hAnsi="Arial" w:eastAsia="Arial" w:cs="Arial"/>
          <w:color w:val="000000" w:themeColor="text1"/>
          <w:sz w:val="18"/>
          <w:szCs w:val="18"/>
          <w:lang w:val="de-DE"/>
        </w:rPr>
      </w:pPr>
    </w:p>
    <w:p w:rsidRPr="00A857F9" w:rsidR="002B53FE" w:rsidP="00A857F9" w:rsidRDefault="002B53FE" w14:paraId="4CA96A52" w14:textId="04BAE46A">
      <w:pPr>
        <w:pStyle w:val="StandardWeb"/>
        <w:shd w:val="clear" w:color="auto" w:fill="FFFFFF"/>
        <w:spacing w:line="360" w:lineRule="auto"/>
        <w:rPr>
          <w:rFonts w:ascii="Arial" w:hAnsi="Arial" w:eastAsia="Arial" w:cs="Arial"/>
          <w:color w:val="000000" w:themeColor="text1"/>
          <w:sz w:val="18"/>
          <w:szCs w:val="18"/>
          <w:lang w:val="de-DE"/>
        </w:rPr>
      </w:pPr>
      <w:r w:rsidRPr="00A857F9">
        <w:rPr>
          <w:rFonts w:ascii="Arial" w:hAnsi="Arial" w:eastAsia="Arial" w:cs="Arial"/>
          <w:color w:val="000000" w:themeColor="text1"/>
          <w:sz w:val="18"/>
          <w:szCs w:val="18"/>
          <w:lang w:val="de-DE"/>
        </w:rPr>
        <w:t>Technologien und Engagement für eine lebenswerte Zukunft – wie Weidmüller das Thema Nachhaltigkeit angeht, zeigt das Unternehmen in seiner interaktiven </w:t>
      </w:r>
      <w:hyperlink w:history="1" r:id="rId13">
        <w:r w:rsidRPr="00FA4B5E">
          <w:rPr>
            <w:rStyle w:val="Hyperlink"/>
            <w:rFonts w:ascii="Arial" w:hAnsi="Arial" w:cs="Arial"/>
            <w:sz w:val="18"/>
            <w:szCs w:val="18"/>
            <w:lang w:val="de-DE"/>
          </w:rPr>
          <w:t>Nachhaltigkeitsbroschüre</w:t>
        </w:r>
      </w:hyperlink>
      <w:r w:rsidRPr="00A857F9">
        <w:rPr>
          <w:rFonts w:ascii="Arial" w:hAnsi="Arial" w:eastAsia="Arial" w:cs="Arial"/>
          <w:color w:val="000000" w:themeColor="text1"/>
          <w:sz w:val="18"/>
          <w:szCs w:val="18"/>
          <w:lang w:val="de-DE"/>
        </w:rPr>
        <w:t>.</w:t>
      </w:r>
    </w:p>
    <w:p w:rsidRPr="00D63265" w:rsidR="00715BAB" w:rsidP="00715BAB" w:rsidRDefault="00715BAB" w14:paraId="2E40FBD2" w14:textId="77777777">
      <w:pPr>
        <w:spacing w:line="360" w:lineRule="auto"/>
        <w:rPr>
          <w:rFonts w:eastAsia="Arial" w:cs="Arial"/>
          <w:color w:val="000000" w:themeColor="text1"/>
          <w:sz w:val="18"/>
          <w:szCs w:val="18"/>
          <w:lang w:val="de-DE"/>
        </w:rPr>
      </w:pPr>
    </w:p>
    <w:p w:rsidRPr="00FA595C" w:rsidR="00715BAB" w:rsidP="00715BAB" w:rsidRDefault="00715BAB" w14:paraId="0E09652F" w14:textId="77777777">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rsidRPr="00FA595C" w:rsidR="00715BAB" w:rsidP="00715BAB" w:rsidRDefault="00715BAB" w14:paraId="197B70E7" w14:textId="77777777">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rsidRPr="00FA595C" w:rsidR="00715BAB" w:rsidP="00715BAB" w:rsidRDefault="007941F4" w14:paraId="2FA70391" w14:textId="20B4249F">
      <w:pPr>
        <w:tabs>
          <w:tab w:val="left" w:pos="1701"/>
        </w:tabs>
        <w:spacing w:line="360" w:lineRule="auto"/>
        <w:jc w:val="both"/>
        <w:rPr>
          <w:rFonts w:eastAsia="Arial" w:cs="Arial"/>
          <w:sz w:val="18"/>
          <w:szCs w:val="18"/>
          <w:lang w:val="de-DE"/>
        </w:rPr>
      </w:pPr>
      <w:r>
        <w:rPr>
          <w:rFonts w:eastAsia="Arial" w:cs="Arial"/>
          <w:sz w:val="18"/>
          <w:szCs w:val="18"/>
          <w:lang w:val="de-DE"/>
        </w:rPr>
        <w:t xml:space="preserve">Marc Landermann, Leiter Unternehmenskommunikation </w:t>
      </w:r>
    </w:p>
    <w:p w:rsidRPr="007E626F" w:rsidR="00715BAB" w:rsidP="00715BAB" w:rsidRDefault="00715BAB" w14:paraId="3540AD9D" w14:textId="77777777">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w:history="1" r:id="rId14">
        <w:r w:rsidRPr="00311719">
          <w:rPr>
            <w:rStyle w:val="Hyperlink"/>
            <w:rFonts w:eastAsia="Arial" w:cs="Arial"/>
            <w:sz w:val="18"/>
            <w:szCs w:val="18"/>
            <w:lang w:val="de-DE"/>
          </w:rPr>
          <w:t>presse@weidmueller.com</w:t>
        </w:r>
      </w:hyperlink>
    </w:p>
    <w:sectPr w:rsidRPr="007E626F" w:rsidR="00715BAB" w:rsidSect="002D1AF5">
      <w:headerReference w:type="default" r:id="rId15"/>
      <w:footerReference w:type="default" r:id="rId16"/>
      <w:pgSz w:w="11906" w:h="16838" w:orient="portrait"/>
      <w:pgMar w:top="2552" w:right="2834" w:bottom="1134" w:left="1418"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45E" w:rsidRDefault="008D245E" w14:paraId="52387848" w14:textId="77777777">
      <w:r>
        <w:separator/>
      </w:r>
    </w:p>
  </w:endnote>
  <w:endnote w:type="continuationSeparator" w:id="0">
    <w:p w:rsidR="008D245E" w:rsidRDefault="008D245E" w14:paraId="3A8AC716" w14:textId="77777777">
      <w:r>
        <w:continuationSeparator/>
      </w:r>
    </w:p>
  </w:endnote>
  <w:endnote w:type="continuationNotice" w:id="1">
    <w:p w:rsidR="008D245E" w:rsidRDefault="008D245E" w14:paraId="3AF366D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rsidR="00CE7D1C" w:rsidP="00CE7D1C" w:rsidRDefault="00CE7D1C" w14:paraId="42012685" w14:textId="55A34611">
        <w:pPr>
          <w:tabs>
            <w:tab w:val="left" w:pos="1701"/>
          </w:tabs>
          <w:spacing w:line="360" w:lineRule="auto"/>
          <w:jc w:val="both"/>
          <w:rPr>
            <w:rFonts w:eastAsia="Arial" w:cs="Arial"/>
            <w:sz w:val="18"/>
            <w:szCs w:val="18"/>
            <w:lang w:val="de-DE"/>
          </w:rPr>
        </w:pPr>
      </w:p>
      <w:p w:rsidR="00C55D49" w:rsidP="00C55D49" w:rsidRDefault="00C55D49" w14:paraId="23A84D42" w14:textId="30AF5E0C">
        <w:pPr>
          <w:tabs>
            <w:tab w:val="left" w:pos="1701"/>
          </w:tabs>
          <w:spacing w:line="360" w:lineRule="auto"/>
          <w:rPr>
            <w:rFonts w:eastAsia="Arial" w:cs="Arial"/>
            <w:sz w:val="18"/>
            <w:szCs w:val="18"/>
            <w:lang w:val="de-DE"/>
          </w:rPr>
        </w:pPr>
        <w:r>
          <w:rPr>
            <w:rFonts w:eastAsia="Arial" w:cs="Arial"/>
            <w:sz w:val="18"/>
            <w:szCs w:val="18"/>
            <w:lang w:val="de-DE"/>
          </w:rPr>
          <w:t xml:space="preserve"> </w:t>
        </w:r>
      </w:p>
      <w:p w:rsidR="00F829AE" w:rsidP="00CE7D1C" w:rsidRDefault="00000000" w14:paraId="3C802467" w14:textId="2DB14DBD">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45E" w:rsidRDefault="008D245E" w14:paraId="66A26B65" w14:textId="77777777">
      <w:r>
        <w:separator/>
      </w:r>
    </w:p>
  </w:footnote>
  <w:footnote w:type="continuationSeparator" w:id="0">
    <w:p w:rsidR="008D245E" w:rsidRDefault="008D245E" w14:paraId="7388906A" w14:textId="77777777">
      <w:r>
        <w:continuationSeparator/>
      </w:r>
    </w:p>
  </w:footnote>
  <w:footnote w:type="continuationNotice" w:id="1">
    <w:p w:rsidR="008D245E" w:rsidRDefault="008D245E" w14:paraId="353FD2F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88EB13A">
    <w:pPr>
      <w:pStyle w:val="Kopfzeile"/>
    </w:pPr>
    <w:proofErr w:type="spellStart"/>
    <w:r>
      <w:rPr>
        <w:sz w:val="32"/>
        <w:szCs w:val="32"/>
      </w:rPr>
      <w:t>Pressemitteilung</w:t>
    </w:r>
    <w:proofErr w:type="spellEnd"/>
    <w:r w:rsidR="00F829AE">
      <w:rPr>
        <w:b/>
        <w:sz w:val="32"/>
        <w:szCs w:val="32"/>
      </w:rPr>
      <w:tab/>
    </w:r>
    <w:r w:rsidR="00F829AE">
      <w:rPr>
        <w:b/>
        <w:sz w:val="32"/>
        <w:szCs w:val="32"/>
      </w:rPr>
      <w:tab/>
    </w:r>
    <w:r w:rsidRPr="003359BF" w:rsidR="00F829AE">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hint="default" w:ascii="Arial" w:hAnsi="Arial" w:eastAsia="Arial"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hint="default" w:ascii="Calibri" w:hAnsi="Calibri" w:cs="Calibri" w:eastAsiaTheme="minorHAnsi"/>
      </w:rPr>
    </w:lvl>
    <w:lvl w:ilvl="1" w:tplc="04070003" w:tentative="1">
      <w:start w:val="1"/>
      <w:numFmt w:val="bullet"/>
      <w:lvlText w:val="o"/>
      <w:lvlJc w:val="left"/>
      <w:pPr>
        <w:ind w:left="1790" w:hanging="360"/>
      </w:pPr>
      <w:rPr>
        <w:rFonts w:hint="default" w:ascii="Courier New" w:hAnsi="Courier New" w:cs="Courier New"/>
      </w:rPr>
    </w:lvl>
    <w:lvl w:ilvl="2" w:tplc="04070005" w:tentative="1">
      <w:start w:val="1"/>
      <w:numFmt w:val="bullet"/>
      <w:lvlText w:val=""/>
      <w:lvlJc w:val="left"/>
      <w:pPr>
        <w:ind w:left="2510" w:hanging="360"/>
      </w:pPr>
      <w:rPr>
        <w:rFonts w:hint="default" w:ascii="Wingdings" w:hAnsi="Wingdings"/>
      </w:rPr>
    </w:lvl>
    <w:lvl w:ilvl="3" w:tplc="04070001" w:tentative="1">
      <w:start w:val="1"/>
      <w:numFmt w:val="bullet"/>
      <w:lvlText w:val=""/>
      <w:lvlJc w:val="left"/>
      <w:pPr>
        <w:ind w:left="3230" w:hanging="360"/>
      </w:pPr>
      <w:rPr>
        <w:rFonts w:hint="default" w:ascii="Symbol" w:hAnsi="Symbol"/>
      </w:rPr>
    </w:lvl>
    <w:lvl w:ilvl="4" w:tplc="04070003" w:tentative="1">
      <w:start w:val="1"/>
      <w:numFmt w:val="bullet"/>
      <w:lvlText w:val="o"/>
      <w:lvlJc w:val="left"/>
      <w:pPr>
        <w:ind w:left="3950" w:hanging="360"/>
      </w:pPr>
      <w:rPr>
        <w:rFonts w:hint="default" w:ascii="Courier New" w:hAnsi="Courier New" w:cs="Courier New"/>
      </w:rPr>
    </w:lvl>
    <w:lvl w:ilvl="5" w:tplc="04070005" w:tentative="1">
      <w:start w:val="1"/>
      <w:numFmt w:val="bullet"/>
      <w:lvlText w:val=""/>
      <w:lvlJc w:val="left"/>
      <w:pPr>
        <w:ind w:left="4670" w:hanging="360"/>
      </w:pPr>
      <w:rPr>
        <w:rFonts w:hint="default" w:ascii="Wingdings" w:hAnsi="Wingdings"/>
      </w:rPr>
    </w:lvl>
    <w:lvl w:ilvl="6" w:tplc="04070001" w:tentative="1">
      <w:start w:val="1"/>
      <w:numFmt w:val="bullet"/>
      <w:lvlText w:val=""/>
      <w:lvlJc w:val="left"/>
      <w:pPr>
        <w:ind w:left="5390" w:hanging="360"/>
      </w:pPr>
      <w:rPr>
        <w:rFonts w:hint="default" w:ascii="Symbol" w:hAnsi="Symbol"/>
      </w:rPr>
    </w:lvl>
    <w:lvl w:ilvl="7" w:tplc="04070003" w:tentative="1">
      <w:start w:val="1"/>
      <w:numFmt w:val="bullet"/>
      <w:lvlText w:val="o"/>
      <w:lvlJc w:val="left"/>
      <w:pPr>
        <w:ind w:left="6110" w:hanging="360"/>
      </w:pPr>
      <w:rPr>
        <w:rFonts w:hint="default" w:ascii="Courier New" w:hAnsi="Courier New" w:cs="Courier New"/>
      </w:rPr>
    </w:lvl>
    <w:lvl w:ilvl="8" w:tplc="04070005" w:tentative="1">
      <w:start w:val="1"/>
      <w:numFmt w:val="bullet"/>
      <w:lvlText w:val=""/>
      <w:lvlJc w:val="left"/>
      <w:pPr>
        <w:ind w:left="6830" w:hanging="360"/>
      </w:pPr>
      <w:rPr>
        <w:rFonts w:hint="default" w:ascii="Wingdings" w:hAnsi="Wingdings"/>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1568538835">
    <w:abstractNumId w:val="8"/>
  </w:num>
  <w:num w:numId="2" w16cid:durableId="1368219015">
    <w:abstractNumId w:val="19"/>
  </w:num>
  <w:num w:numId="3" w16cid:durableId="1643730305">
    <w:abstractNumId w:val="1"/>
  </w:num>
  <w:num w:numId="4" w16cid:durableId="854155786">
    <w:abstractNumId w:val="11"/>
  </w:num>
  <w:num w:numId="5" w16cid:durableId="1627932472">
    <w:abstractNumId w:val="15"/>
  </w:num>
  <w:num w:numId="6" w16cid:durableId="1372682395">
    <w:abstractNumId w:val="7"/>
  </w:num>
  <w:num w:numId="7" w16cid:durableId="1266113800">
    <w:abstractNumId w:val="14"/>
  </w:num>
  <w:num w:numId="8" w16cid:durableId="1787889106">
    <w:abstractNumId w:val="17"/>
  </w:num>
  <w:num w:numId="9" w16cid:durableId="672220703">
    <w:abstractNumId w:val="13"/>
  </w:num>
  <w:num w:numId="10" w16cid:durableId="1024359607">
    <w:abstractNumId w:val="6"/>
  </w:num>
  <w:num w:numId="11" w16cid:durableId="1433168458">
    <w:abstractNumId w:val="0"/>
  </w:num>
  <w:num w:numId="12" w16cid:durableId="1420981306">
    <w:abstractNumId w:val="4"/>
  </w:num>
  <w:num w:numId="13" w16cid:durableId="1788426928">
    <w:abstractNumId w:val="2"/>
  </w:num>
  <w:num w:numId="14" w16cid:durableId="214201113">
    <w:abstractNumId w:val="16"/>
  </w:num>
  <w:num w:numId="15" w16cid:durableId="768233447">
    <w:abstractNumId w:val="9"/>
  </w:num>
  <w:num w:numId="16" w16cid:durableId="1392771750">
    <w:abstractNumId w:val="10"/>
  </w:num>
  <w:num w:numId="17" w16cid:durableId="52000782">
    <w:abstractNumId w:val="18"/>
  </w:num>
  <w:num w:numId="18" w16cid:durableId="177043323">
    <w:abstractNumId w:val="3"/>
  </w:num>
  <w:num w:numId="19" w16cid:durableId="1428621679">
    <w:abstractNumId w:val="5"/>
  </w:num>
  <w:num w:numId="20" w16cid:durableId="1487941364">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5A83"/>
    <w:rsid w:val="0000701B"/>
    <w:rsid w:val="000103CB"/>
    <w:rsid w:val="00011117"/>
    <w:rsid w:val="000117ED"/>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78"/>
    <w:rsid w:val="0004366A"/>
    <w:rsid w:val="0004543D"/>
    <w:rsid w:val="000462F6"/>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659"/>
    <w:rsid w:val="0007277F"/>
    <w:rsid w:val="00072C4E"/>
    <w:rsid w:val="00073340"/>
    <w:rsid w:val="0007478F"/>
    <w:rsid w:val="00074E7E"/>
    <w:rsid w:val="0007794C"/>
    <w:rsid w:val="00080380"/>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780"/>
    <w:rsid w:val="00096A36"/>
    <w:rsid w:val="00096CB5"/>
    <w:rsid w:val="00096D1E"/>
    <w:rsid w:val="000A07AF"/>
    <w:rsid w:val="000A0897"/>
    <w:rsid w:val="000A0F0B"/>
    <w:rsid w:val="000A35AB"/>
    <w:rsid w:val="000A3D49"/>
    <w:rsid w:val="000A5160"/>
    <w:rsid w:val="000A5A6A"/>
    <w:rsid w:val="000A6046"/>
    <w:rsid w:val="000A63E8"/>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60BD"/>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6CB"/>
    <w:rsid w:val="000F4D52"/>
    <w:rsid w:val="000F5C76"/>
    <w:rsid w:val="000F7AE2"/>
    <w:rsid w:val="00101BE7"/>
    <w:rsid w:val="00102309"/>
    <w:rsid w:val="00102448"/>
    <w:rsid w:val="00103384"/>
    <w:rsid w:val="001039AC"/>
    <w:rsid w:val="0010439A"/>
    <w:rsid w:val="00104B0B"/>
    <w:rsid w:val="00107B4D"/>
    <w:rsid w:val="001105F1"/>
    <w:rsid w:val="00116463"/>
    <w:rsid w:val="0011721A"/>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6BC4"/>
    <w:rsid w:val="00150C8E"/>
    <w:rsid w:val="00150D42"/>
    <w:rsid w:val="00150FD4"/>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6BA"/>
    <w:rsid w:val="00174884"/>
    <w:rsid w:val="00174F44"/>
    <w:rsid w:val="001774CB"/>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2DE2"/>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640D"/>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230"/>
    <w:rsid w:val="002175A6"/>
    <w:rsid w:val="00217764"/>
    <w:rsid w:val="002177F5"/>
    <w:rsid w:val="0022090C"/>
    <w:rsid w:val="00221D0D"/>
    <w:rsid w:val="002220DD"/>
    <w:rsid w:val="00222F14"/>
    <w:rsid w:val="002233B2"/>
    <w:rsid w:val="00224245"/>
    <w:rsid w:val="0022437B"/>
    <w:rsid w:val="00227154"/>
    <w:rsid w:val="0023146C"/>
    <w:rsid w:val="00233EC5"/>
    <w:rsid w:val="00234808"/>
    <w:rsid w:val="00234A32"/>
    <w:rsid w:val="00234C2F"/>
    <w:rsid w:val="00234DA7"/>
    <w:rsid w:val="00235688"/>
    <w:rsid w:val="002356DB"/>
    <w:rsid w:val="002358FD"/>
    <w:rsid w:val="00235AED"/>
    <w:rsid w:val="00235B09"/>
    <w:rsid w:val="00237138"/>
    <w:rsid w:val="002379E5"/>
    <w:rsid w:val="00237A46"/>
    <w:rsid w:val="00240D17"/>
    <w:rsid w:val="00241536"/>
    <w:rsid w:val="002420B1"/>
    <w:rsid w:val="002449F0"/>
    <w:rsid w:val="00244E2D"/>
    <w:rsid w:val="00245583"/>
    <w:rsid w:val="00247301"/>
    <w:rsid w:val="00247D82"/>
    <w:rsid w:val="002511BA"/>
    <w:rsid w:val="00252BD9"/>
    <w:rsid w:val="00252D03"/>
    <w:rsid w:val="00252E12"/>
    <w:rsid w:val="002539B4"/>
    <w:rsid w:val="00260431"/>
    <w:rsid w:val="002610C0"/>
    <w:rsid w:val="00261C8A"/>
    <w:rsid w:val="002650A0"/>
    <w:rsid w:val="00265119"/>
    <w:rsid w:val="00265609"/>
    <w:rsid w:val="00270A9B"/>
    <w:rsid w:val="00272BA2"/>
    <w:rsid w:val="0027492F"/>
    <w:rsid w:val="00274D6C"/>
    <w:rsid w:val="00275EB6"/>
    <w:rsid w:val="00275ECA"/>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3FE"/>
    <w:rsid w:val="002B5E35"/>
    <w:rsid w:val="002B6780"/>
    <w:rsid w:val="002B705B"/>
    <w:rsid w:val="002B780F"/>
    <w:rsid w:val="002B78B0"/>
    <w:rsid w:val="002C0A1C"/>
    <w:rsid w:val="002C0F7C"/>
    <w:rsid w:val="002C103C"/>
    <w:rsid w:val="002C3EC9"/>
    <w:rsid w:val="002C7179"/>
    <w:rsid w:val="002C745C"/>
    <w:rsid w:val="002C7E11"/>
    <w:rsid w:val="002D17EF"/>
    <w:rsid w:val="002D1AF5"/>
    <w:rsid w:val="002D2AD9"/>
    <w:rsid w:val="002D3AC4"/>
    <w:rsid w:val="002D3E4C"/>
    <w:rsid w:val="002D42ED"/>
    <w:rsid w:val="002D460B"/>
    <w:rsid w:val="002D71AF"/>
    <w:rsid w:val="002E07F4"/>
    <w:rsid w:val="002E0F74"/>
    <w:rsid w:val="002E11B2"/>
    <w:rsid w:val="002E24C7"/>
    <w:rsid w:val="002E3BD6"/>
    <w:rsid w:val="002E59A0"/>
    <w:rsid w:val="002E5A4A"/>
    <w:rsid w:val="002E5CFA"/>
    <w:rsid w:val="002E5D8F"/>
    <w:rsid w:val="002E61A4"/>
    <w:rsid w:val="002E6D3A"/>
    <w:rsid w:val="002E6D55"/>
    <w:rsid w:val="002E7BDE"/>
    <w:rsid w:val="002F01C7"/>
    <w:rsid w:val="002F1407"/>
    <w:rsid w:val="002F17C8"/>
    <w:rsid w:val="002F1A55"/>
    <w:rsid w:val="002F3A0C"/>
    <w:rsid w:val="002F4871"/>
    <w:rsid w:val="002F4E50"/>
    <w:rsid w:val="002F5C83"/>
    <w:rsid w:val="002F757A"/>
    <w:rsid w:val="002F7CD5"/>
    <w:rsid w:val="0030064E"/>
    <w:rsid w:val="0030075E"/>
    <w:rsid w:val="0030188F"/>
    <w:rsid w:val="00301B96"/>
    <w:rsid w:val="003021E0"/>
    <w:rsid w:val="003037AC"/>
    <w:rsid w:val="00303D24"/>
    <w:rsid w:val="003042F2"/>
    <w:rsid w:val="0030455A"/>
    <w:rsid w:val="003061F7"/>
    <w:rsid w:val="003065F5"/>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4F1"/>
    <w:rsid w:val="00386B39"/>
    <w:rsid w:val="00387AF2"/>
    <w:rsid w:val="003908CB"/>
    <w:rsid w:val="003913A5"/>
    <w:rsid w:val="003923BA"/>
    <w:rsid w:val="00392609"/>
    <w:rsid w:val="0039301E"/>
    <w:rsid w:val="00394B15"/>
    <w:rsid w:val="0039536D"/>
    <w:rsid w:val="00395852"/>
    <w:rsid w:val="003A1902"/>
    <w:rsid w:val="003A1B4E"/>
    <w:rsid w:val="003A2B95"/>
    <w:rsid w:val="003A2D4E"/>
    <w:rsid w:val="003A5204"/>
    <w:rsid w:val="003A5A01"/>
    <w:rsid w:val="003A64D2"/>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6F24"/>
    <w:rsid w:val="003D7056"/>
    <w:rsid w:val="003D73A2"/>
    <w:rsid w:val="003E0332"/>
    <w:rsid w:val="003E03DB"/>
    <w:rsid w:val="003E151B"/>
    <w:rsid w:val="003E16F7"/>
    <w:rsid w:val="003E23B3"/>
    <w:rsid w:val="003E2422"/>
    <w:rsid w:val="003E5C4B"/>
    <w:rsid w:val="003E60A3"/>
    <w:rsid w:val="003E6F20"/>
    <w:rsid w:val="003E7FED"/>
    <w:rsid w:val="003F1406"/>
    <w:rsid w:val="003F1776"/>
    <w:rsid w:val="003F4F89"/>
    <w:rsid w:val="003F53D0"/>
    <w:rsid w:val="003F6403"/>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5D49"/>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06D0"/>
    <w:rsid w:val="00441667"/>
    <w:rsid w:val="004425F5"/>
    <w:rsid w:val="0044358E"/>
    <w:rsid w:val="00446514"/>
    <w:rsid w:val="004476E7"/>
    <w:rsid w:val="00451585"/>
    <w:rsid w:val="0045446C"/>
    <w:rsid w:val="0045497B"/>
    <w:rsid w:val="00454EA1"/>
    <w:rsid w:val="00455614"/>
    <w:rsid w:val="0045591F"/>
    <w:rsid w:val="00455D51"/>
    <w:rsid w:val="00456CD5"/>
    <w:rsid w:val="00462380"/>
    <w:rsid w:val="0046303A"/>
    <w:rsid w:val="004639A5"/>
    <w:rsid w:val="00463B8A"/>
    <w:rsid w:val="00466129"/>
    <w:rsid w:val="0046618A"/>
    <w:rsid w:val="004661DA"/>
    <w:rsid w:val="00467973"/>
    <w:rsid w:val="00471614"/>
    <w:rsid w:val="004721B0"/>
    <w:rsid w:val="004733AC"/>
    <w:rsid w:val="00473AA6"/>
    <w:rsid w:val="00474643"/>
    <w:rsid w:val="00474726"/>
    <w:rsid w:val="00475210"/>
    <w:rsid w:val="0047613B"/>
    <w:rsid w:val="00477E86"/>
    <w:rsid w:val="0048010A"/>
    <w:rsid w:val="0048038C"/>
    <w:rsid w:val="004847A3"/>
    <w:rsid w:val="00485723"/>
    <w:rsid w:val="0048587D"/>
    <w:rsid w:val="0048596C"/>
    <w:rsid w:val="004864D8"/>
    <w:rsid w:val="00486AAA"/>
    <w:rsid w:val="00487403"/>
    <w:rsid w:val="00487959"/>
    <w:rsid w:val="00490979"/>
    <w:rsid w:val="0049102A"/>
    <w:rsid w:val="00491107"/>
    <w:rsid w:val="00491A1B"/>
    <w:rsid w:val="00491D38"/>
    <w:rsid w:val="00491D6D"/>
    <w:rsid w:val="00492FB1"/>
    <w:rsid w:val="00493AEA"/>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66A1"/>
    <w:rsid w:val="004B6829"/>
    <w:rsid w:val="004B698E"/>
    <w:rsid w:val="004B765E"/>
    <w:rsid w:val="004C1936"/>
    <w:rsid w:val="004C28B7"/>
    <w:rsid w:val="004C3812"/>
    <w:rsid w:val="004C4FA5"/>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45A3"/>
    <w:rsid w:val="005564DD"/>
    <w:rsid w:val="00556AB7"/>
    <w:rsid w:val="005572C1"/>
    <w:rsid w:val="00557D48"/>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158A"/>
    <w:rsid w:val="00591DA1"/>
    <w:rsid w:val="00592579"/>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60B4"/>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C60F6"/>
    <w:rsid w:val="005D100C"/>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53A0"/>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37F0E"/>
    <w:rsid w:val="00640D87"/>
    <w:rsid w:val="00640FAC"/>
    <w:rsid w:val="00641F28"/>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1A8A"/>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647C"/>
    <w:rsid w:val="006976A7"/>
    <w:rsid w:val="00697813"/>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80D"/>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08E1"/>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24F8"/>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DD0"/>
    <w:rsid w:val="00771E70"/>
    <w:rsid w:val="00772A65"/>
    <w:rsid w:val="00772DC8"/>
    <w:rsid w:val="0077330A"/>
    <w:rsid w:val="00773954"/>
    <w:rsid w:val="007761C7"/>
    <w:rsid w:val="007765D8"/>
    <w:rsid w:val="007779CF"/>
    <w:rsid w:val="00777DB6"/>
    <w:rsid w:val="00780129"/>
    <w:rsid w:val="00782A9C"/>
    <w:rsid w:val="00783954"/>
    <w:rsid w:val="00785404"/>
    <w:rsid w:val="00786992"/>
    <w:rsid w:val="0078742F"/>
    <w:rsid w:val="00790740"/>
    <w:rsid w:val="0079129D"/>
    <w:rsid w:val="007914F4"/>
    <w:rsid w:val="00792A01"/>
    <w:rsid w:val="00793B02"/>
    <w:rsid w:val="007941F4"/>
    <w:rsid w:val="007951D2"/>
    <w:rsid w:val="007955F7"/>
    <w:rsid w:val="00795C73"/>
    <w:rsid w:val="00796D52"/>
    <w:rsid w:val="007A06E3"/>
    <w:rsid w:val="007A2EF4"/>
    <w:rsid w:val="007A300A"/>
    <w:rsid w:val="007A3165"/>
    <w:rsid w:val="007A3D7C"/>
    <w:rsid w:val="007A3DF3"/>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05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56DC"/>
    <w:rsid w:val="00826252"/>
    <w:rsid w:val="00826514"/>
    <w:rsid w:val="0083199E"/>
    <w:rsid w:val="00831C05"/>
    <w:rsid w:val="00831CA3"/>
    <w:rsid w:val="008321D7"/>
    <w:rsid w:val="00832CF7"/>
    <w:rsid w:val="008330EB"/>
    <w:rsid w:val="008368C6"/>
    <w:rsid w:val="008371AB"/>
    <w:rsid w:val="00837343"/>
    <w:rsid w:val="008373AC"/>
    <w:rsid w:val="00840C2E"/>
    <w:rsid w:val="00841D88"/>
    <w:rsid w:val="00841DC6"/>
    <w:rsid w:val="00841FA4"/>
    <w:rsid w:val="008420E2"/>
    <w:rsid w:val="0084212F"/>
    <w:rsid w:val="008446E1"/>
    <w:rsid w:val="00852ACE"/>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2B45"/>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42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45E"/>
    <w:rsid w:val="008D2D05"/>
    <w:rsid w:val="008D38D7"/>
    <w:rsid w:val="008D3B2B"/>
    <w:rsid w:val="008D401F"/>
    <w:rsid w:val="008D5510"/>
    <w:rsid w:val="008D5DD3"/>
    <w:rsid w:val="008D6F0A"/>
    <w:rsid w:val="008D7792"/>
    <w:rsid w:val="008E08FD"/>
    <w:rsid w:val="008E1510"/>
    <w:rsid w:val="008E2374"/>
    <w:rsid w:val="008E4235"/>
    <w:rsid w:val="008E6F71"/>
    <w:rsid w:val="008F1C5E"/>
    <w:rsid w:val="008F2C2B"/>
    <w:rsid w:val="008F3BC3"/>
    <w:rsid w:val="008F52F1"/>
    <w:rsid w:val="008F5ACB"/>
    <w:rsid w:val="008F5D55"/>
    <w:rsid w:val="008F629C"/>
    <w:rsid w:val="008F757F"/>
    <w:rsid w:val="0090038E"/>
    <w:rsid w:val="0090082C"/>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BF7"/>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83A"/>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2E1"/>
    <w:rsid w:val="009C39BD"/>
    <w:rsid w:val="009C4DDD"/>
    <w:rsid w:val="009C5249"/>
    <w:rsid w:val="009C599B"/>
    <w:rsid w:val="009C6897"/>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384"/>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17D27"/>
    <w:rsid w:val="00A201C1"/>
    <w:rsid w:val="00A20EBE"/>
    <w:rsid w:val="00A20F16"/>
    <w:rsid w:val="00A2362A"/>
    <w:rsid w:val="00A24183"/>
    <w:rsid w:val="00A241C2"/>
    <w:rsid w:val="00A2486A"/>
    <w:rsid w:val="00A26394"/>
    <w:rsid w:val="00A273CD"/>
    <w:rsid w:val="00A2747C"/>
    <w:rsid w:val="00A3481D"/>
    <w:rsid w:val="00A36C3A"/>
    <w:rsid w:val="00A37B0D"/>
    <w:rsid w:val="00A41698"/>
    <w:rsid w:val="00A4170C"/>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333"/>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57F9"/>
    <w:rsid w:val="00A87787"/>
    <w:rsid w:val="00A900C7"/>
    <w:rsid w:val="00A920E0"/>
    <w:rsid w:val="00A95AE9"/>
    <w:rsid w:val="00A95EE1"/>
    <w:rsid w:val="00A97A9F"/>
    <w:rsid w:val="00A97B1C"/>
    <w:rsid w:val="00A97B44"/>
    <w:rsid w:val="00AA2272"/>
    <w:rsid w:val="00AA40A9"/>
    <w:rsid w:val="00AA6EE1"/>
    <w:rsid w:val="00AA76E1"/>
    <w:rsid w:val="00AB0134"/>
    <w:rsid w:val="00AB109E"/>
    <w:rsid w:val="00AB1FA8"/>
    <w:rsid w:val="00AB2820"/>
    <w:rsid w:val="00AB287C"/>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5E20"/>
    <w:rsid w:val="00B0602D"/>
    <w:rsid w:val="00B07964"/>
    <w:rsid w:val="00B1095E"/>
    <w:rsid w:val="00B10DE3"/>
    <w:rsid w:val="00B11A38"/>
    <w:rsid w:val="00B11F0E"/>
    <w:rsid w:val="00B12120"/>
    <w:rsid w:val="00B12940"/>
    <w:rsid w:val="00B12E5D"/>
    <w:rsid w:val="00B131F4"/>
    <w:rsid w:val="00B134B4"/>
    <w:rsid w:val="00B1445B"/>
    <w:rsid w:val="00B146A4"/>
    <w:rsid w:val="00B146D2"/>
    <w:rsid w:val="00B15929"/>
    <w:rsid w:val="00B165A2"/>
    <w:rsid w:val="00B177D7"/>
    <w:rsid w:val="00B1780F"/>
    <w:rsid w:val="00B20A14"/>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580E"/>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8F"/>
    <w:rsid w:val="00B615D1"/>
    <w:rsid w:val="00B62729"/>
    <w:rsid w:val="00B628E4"/>
    <w:rsid w:val="00B64DD8"/>
    <w:rsid w:val="00B65711"/>
    <w:rsid w:val="00B6674D"/>
    <w:rsid w:val="00B6768F"/>
    <w:rsid w:val="00B67D46"/>
    <w:rsid w:val="00B762DA"/>
    <w:rsid w:val="00B8007E"/>
    <w:rsid w:val="00B80448"/>
    <w:rsid w:val="00B80C60"/>
    <w:rsid w:val="00B815AF"/>
    <w:rsid w:val="00B81FFB"/>
    <w:rsid w:val="00B83A11"/>
    <w:rsid w:val="00B859C4"/>
    <w:rsid w:val="00B863A6"/>
    <w:rsid w:val="00B86B08"/>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5E86"/>
    <w:rsid w:val="00BA7140"/>
    <w:rsid w:val="00BA788B"/>
    <w:rsid w:val="00BB585E"/>
    <w:rsid w:val="00BB5AD5"/>
    <w:rsid w:val="00BB79A0"/>
    <w:rsid w:val="00BB7C63"/>
    <w:rsid w:val="00BC0AF0"/>
    <w:rsid w:val="00BC0C3D"/>
    <w:rsid w:val="00BC0F1A"/>
    <w:rsid w:val="00BC2BB7"/>
    <w:rsid w:val="00BC30F5"/>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8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329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2593"/>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168"/>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4F96"/>
    <w:rsid w:val="00D1518D"/>
    <w:rsid w:val="00D15F34"/>
    <w:rsid w:val="00D165B4"/>
    <w:rsid w:val="00D17097"/>
    <w:rsid w:val="00D212AE"/>
    <w:rsid w:val="00D24300"/>
    <w:rsid w:val="00D24549"/>
    <w:rsid w:val="00D24690"/>
    <w:rsid w:val="00D2577F"/>
    <w:rsid w:val="00D26582"/>
    <w:rsid w:val="00D269DC"/>
    <w:rsid w:val="00D273B3"/>
    <w:rsid w:val="00D3029E"/>
    <w:rsid w:val="00D311BE"/>
    <w:rsid w:val="00D3202B"/>
    <w:rsid w:val="00D322C4"/>
    <w:rsid w:val="00D322CD"/>
    <w:rsid w:val="00D32C4D"/>
    <w:rsid w:val="00D32DEB"/>
    <w:rsid w:val="00D33651"/>
    <w:rsid w:val="00D3476C"/>
    <w:rsid w:val="00D35F23"/>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671AD"/>
    <w:rsid w:val="00D71610"/>
    <w:rsid w:val="00D71D1B"/>
    <w:rsid w:val="00D72E7D"/>
    <w:rsid w:val="00D73017"/>
    <w:rsid w:val="00D7359A"/>
    <w:rsid w:val="00D77100"/>
    <w:rsid w:val="00D8089A"/>
    <w:rsid w:val="00D81A70"/>
    <w:rsid w:val="00D81F85"/>
    <w:rsid w:val="00D8218D"/>
    <w:rsid w:val="00D82204"/>
    <w:rsid w:val="00D83428"/>
    <w:rsid w:val="00D83DB5"/>
    <w:rsid w:val="00D840F6"/>
    <w:rsid w:val="00D8515A"/>
    <w:rsid w:val="00D85712"/>
    <w:rsid w:val="00D85746"/>
    <w:rsid w:val="00D867A2"/>
    <w:rsid w:val="00D87158"/>
    <w:rsid w:val="00D906C1"/>
    <w:rsid w:val="00D91442"/>
    <w:rsid w:val="00D91B49"/>
    <w:rsid w:val="00D927F6"/>
    <w:rsid w:val="00D94D27"/>
    <w:rsid w:val="00D964F9"/>
    <w:rsid w:val="00D96A4E"/>
    <w:rsid w:val="00D970D4"/>
    <w:rsid w:val="00D9732A"/>
    <w:rsid w:val="00D97F0D"/>
    <w:rsid w:val="00DA08C8"/>
    <w:rsid w:val="00DA0B08"/>
    <w:rsid w:val="00DA1636"/>
    <w:rsid w:val="00DA1801"/>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58E"/>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759"/>
    <w:rsid w:val="00DF0A45"/>
    <w:rsid w:val="00DF0B59"/>
    <w:rsid w:val="00DF0C17"/>
    <w:rsid w:val="00DF19EA"/>
    <w:rsid w:val="00DF1C2C"/>
    <w:rsid w:val="00DF1E18"/>
    <w:rsid w:val="00DF1E7E"/>
    <w:rsid w:val="00DF27C6"/>
    <w:rsid w:val="00DF2D7E"/>
    <w:rsid w:val="00DF373C"/>
    <w:rsid w:val="00DF404D"/>
    <w:rsid w:val="00DF410E"/>
    <w:rsid w:val="00DF42E8"/>
    <w:rsid w:val="00DF5BE6"/>
    <w:rsid w:val="00DF631F"/>
    <w:rsid w:val="00DF6B51"/>
    <w:rsid w:val="00DF7009"/>
    <w:rsid w:val="00E0094C"/>
    <w:rsid w:val="00E00EAF"/>
    <w:rsid w:val="00E019C4"/>
    <w:rsid w:val="00E02C8B"/>
    <w:rsid w:val="00E0334C"/>
    <w:rsid w:val="00E04A83"/>
    <w:rsid w:val="00E05BB8"/>
    <w:rsid w:val="00E0608A"/>
    <w:rsid w:val="00E06E4D"/>
    <w:rsid w:val="00E077D1"/>
    <w:rsid w:val="00E12466"/>
    <w:rsid w:val="00E1262C"/>
    <w:rsid w:val="00E12789"/>
    <w:rsid w:val="00E17252"/>
    <w:rsid w:val="00E203B2"/>
    <w:rsid w:val="00E20CF1"/>
    <w:rsid w:val="00E21815"/>
    <w:rsid w:val="00E231C3"/>
    <w:rsid w:val="00E25B9A"/>
    <w:rsid w:val="00E2667D"/>
    <w:rsid w:val="00E26CF0"/>
    <w:rsid w:val="00E27524"/>
    <w:rsid w:val="00E27894"/>
    <w:rsid w:val="00E27AB6"/>
    <w:rsid w:val="00E30273"/>
    <w:rsid w:val="00E3270E"/>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47A96"/>
    <w:rsid w:val="00E507AD"/>
    <w:rsid w:val="00E51A1B"/>
    <w:rsid w:val="00E541D7"/>
    <w:rsid w:val="00E5426C"/>
    <w:rsid w:val="00E55BAA"/>
    <w:rsid w:val="00E57C1F"/>
    <w:rsid w:val="00E60388"/>
    <w:rsid w:val="00E61261"/>
    <w:rsid w:val="00E64012"/>
    <w:rsid w:val="00E6421F"/>
    <w:rsid w:val="00E64EC1"/>
    <w:rsid w:val="00E66477"/>
    <w:rsid w:val="00E67E11"/>
    <w:rsid w:val="00E715B5"/>
    <w:rsid w:val="00E71A3E"/>
    <w:rsid w:val="00E71B34"/>
    <w:rsid w:val="00E72455"/>
    <w:rsid w:val="00E74403"/>
    <w:rsid w:val="00E74BA7"/>
    <w:rsid w:val="00E75D66"/>
    <w:rsid w:val="00E775C2"/>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0B0"/>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5FB9"/>
    <w:rsid w:val="00EC6461"/>
    <w:rsid w:val="00EC7017"/>
    <w:rsid w:val="00EC7E75"/>
    <w:rsid w:val="00ED04AF"/>
    <w:rsid w:val="00ED1ACB"/>
    <w:rsid w:val="00ED1DE2"/>
    <w:rsid w:val="00ED3AA8"/>
    <w:rsid w:val="00ED5574"/>
    <w:rsid w:val="00ED6218"/>
    <w:rsid w:val="00ED7338"/>
    <w:rsid w:val="00ED7900"/>
    <w:rsid w:val="00ED796A"/>
    <w:rsid w:val="00ED79C0"/>
    <w:rsid w:val="00EE1004"/>
    <w:rsid w:val="00EE11A0"/>
    <w:rsid w:val="00EE1FD0"/>
    <w:rsid w:val="00EE2A04"/>
    <w:rsid w:val="00EE3C30"/>
    <w:rsid w:val="00EE423F"/>
    <w:rsid w:val="00EE54CD"/>
    <w:rsid w:val="00EE7D35"/>
    <w:rsid w:val="00EF0CA1"/>
    <w:rsid w:val="00EF108F"/>
    <w:rsid w:val="00EF1168"/>
    <w:rsid w:val="00EF1822"/>
    <w:rsid w:val="00EF29AF"/>
    <w:rsid w:val="00EF3032"/>
    <w:rsid w:val="00EF3C4C"/>
    <w:rsid w:val="00EF3C58"/>
    <w:rsid w:val="00EF57E0"/>
    <w:rsid w:val="00EF71B7"/>
    <w:rsid w:val="00EF78B0"/>
    <w:rsid w:val="00F00CCC"/>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06BA"/>
    <w:rsid w:val="00F139DF"/>
    <w:rsid w:val="00F14B0C"/>
    <w:rsid w:val="00F1524C"/>
    <w:rsid w:val="00F16DD2"/>
    <w:rsid w:val="00F16F3D"/>
    <w:rsid w:val="00F17E34"/>
    <w:rsid w:val="00F17FB5"/>
    <w:rsid w:val="00F21066"/>
    <w:rsid w:val="00F21CCB"/>
    <w:rsid w:val="00F21D87"/>
    <w:rsid w:val="00F222A2"/>
    <w:rsid w:val="00F2270B"/>
    <w:rsid w:val="00F274CB"/>
    <w:rsid w:val="00F308B1"/>
    <w:rsid w:val="00F32FF0"/>
    <w:rsid w:val="00F33CD5"/>
    <w:rsid w:val="00F34F78"/>
    <w:rsid w:val="00F35089"/>
    <w:rsid w:val="00F3512B"/>
    <w:rsid w:val="00F35C73"/>
    <w:rsid w:val="00F36897"/>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75049"/>
    <w:rsid w:val="00F8038D"/>
    <w:rsid w:val="00F803A1"/>
    <w:rsid w:val="00F80951"/>
    <w:rsid w:val="00F81494"/>
    <w:rsid w:val="00F81EFD"/>
    <w:rsid w:val="00F829AE"/>
    <w:rsid w:val="00F833B9"/>
    <w:rsid w:val="00F84DB6"/>
    <w:rsid w:val="00F8557B"/>
    <w:rsid w:val="00F8589A"/>
    <w:rsid w:val="00F860E7"/>
    <w:rsid w:val="00F864E5"/>
    <w:rsid w:val="00F87D31"/>
    <w:rsid w:val="00F90F5B"/>
    <w:rsid w:val="00F95A8D"/>
    <w:rsid w:val="00F964BA"/>
    <w:rsid w:val="00FA146A"/>
    <w:rsid w:val="00FA1898"/>
    <w:rsid w:val="00FA2080"/>
    <w:rsid w:val="00FA2AAE"/>
    <w:rsid w:val="00FA3C6D"/>
    <w:rsid w:val="00FA4B5E"/>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0FF7DED"/>
    <w:rsid w:val="03D8F2CC"/>
    <w:rsid w:val="03E3E7CD"/>
    <w:rsid w:val="0582EA50"/>
    <w:rsid w:val="06C2835F"/>
    <w:rsid w:val="08195A12"/>
    <w:rsid w:val="093781DE"/>
    <w:rsid w:val="0A1B3466"/>
    <w:rsid w:val="0D2465AE"/>
    <w:rsid w:val="0DF11C8C"/>
    <w:rsid w:val="0E093BCE"/>
    <w:rsid w:val="0E6C896A"/>
    <w:rsid w:val="0ED7686B"/>
    <w:rsid w:val="102B3909"/>
    <w:rsid w:val="1235D614"/>
    <w:rsid w:val="12B8F24F"/>
    <w:rsid w:val="1303D22F"/>
    <w:rsid w:val="13D6814F"/>
    <w:rsid w:val="14DFEF31"/>
    <w:rsid w:val="151ED957"/>
    <w:rsid w:val="16380360"/>
    <w:rsid w:val="176CB1BB"/>
    <w:rsid w:val="18B829B4"/>
    <w:rsid w:val="1A1F67B1"/>
    <w:rsid w:val="1A25DADF"/>
    <w:rsid w:val="1A76FC1D"/>
    <w:rsid w:val="1B275BB8"/>
    <w:rsid w:val="1B40537F"/>
    <w:rsid w:val="1B601C3F"/>
    <w:rsid w:val="1BCECDDD"/>
    <w:rsid w:val="1C3388EA"/>
    <w:rsid w:val="1F343B95"/>
    <w:rsid w:val="1F97019F"/>
    <w:rsid w:val="21173804"/>
    <w:rsid w:val="2292EA9E"/>
    <w:rsid w:val="242F1195"/>
    <w:rsid w:val="24891539"/>
    <w:rsid w:val="260C6B87"/>
    <w:rsid w:val="27B4F10C"/>
    <w:rsid w:val="284CE0F4"/>
    <w:rsid w:val="28B5E81C"/>
    <w:rsid w:val="29512189"/>
    <w:rsid w:val="299ABED9"/>
    <w:rsid w:val="29EC570D"/>
    <w:rsid w:val="2A09F09F"/>
    <w:rsid w:val="2A0CC0A7"/>
    <w:rsid w:val="2A6B7276"/>
    <w:rsid w:val="2BA38D6D"/>
    <w:rsid w:val="2C3B1B1C"/>
    <w:rsid w:val="2C456A88"/>
    <w:rsid w:val="2C5FE5BE"/>
    <w:rsid w:val="2D929D0C"/>
    <w:rsid w:val="2EADD00A"/>
    <w:rsid w:val="2FAFE56B"/>
    <w:rsid w:val="318590F5"/>
    <w:rsid w:val="318D6B89"/>
    <w:rsid w:val="31A3D1F4"/>
    <w:rsid w:val="32E7862D"/>
    <w:rsid w:val="333B8168"/>
    <w:rsid w:val="35A0C0F1"/>
    <w:rsid w:val="35A217A2"/>
    <w:rsid w:val="37BAC8AB"/>
    <w:rsid w:val="37D54E52"/>
    <w:rsid w:val="39C0F636"/>
    <w:rsid w:val="39F36CE5"/>
    <w:rsid w:val="3B55479C"/>
    <w:rsid w:val="3C754016"/>
    <w:rsid w:val="3E1CD86B"/>
    <w:rsid w:val="3E548EF2"/>
    <w:rsid w:val="3EF36520"/>
    <w:rsid w:val="42695858"/>
    <w:rsid w:val="437F912F"/>
    <w:rsid w:val="438A12F2"/>
    <w:rsid w:val="44C4EA02"/>
    <w:rsid w:val="45669838"/>
    <w:rsid w:val="45E580FE"/>
    <w:rsid w:val="47419123"/>
    <w:rsid w:val="48892CFB"/>
    <w:rsid w:val="49788E3B"/>
    <w:rsid w:val="49FA82BC"/>
    <w:rsid w:val="4A78E836"/>
    <w:rsid w:val="4C04A57C"/>
    <w:rsid w:val="4C090B2E"/>
    <w:rsid w:val="4CD7CE1E"/>
    <w:rsid w:val="4D823418"/>
    <w:rsid w:val="4ED4DC51"/>
    <w:rsid w:val="5149F343"/>
    <w:rsid w:val="52813730"/>
    <w:rsid w:val="540E0555"/>
    <w:rsid w:val="56AF1506"/>
    <w:rsid w:val="596AE6C5"/>
    <w:rsid w:val="5A6AC826"/>
    <w:rsid w:val="5ACEB0E4"/>
    <w:rsid w:val="5B4A4DAB"/>
    <w:rsid w:val="5D73C726"/>
    <w:rsid w:val="5E600A9D"/>
    <w:rsid w:val="5F064797"/>
    <w:rsid w:val="5F368AED"/>
    <w:rsid w:val="5FB5409E"/>
    <w:rsid w:val="606347EF"/>
    <w:rsid w:val="615FDD70"/>
    <w:rsid w:val="61ADAF74"/>
    <w:rsid w:val="627252D2"/>
    <w:rsid w:val="62AE6F8A"/>
    <w:rsid w:val="62BD5650"/>
    <w:rsid w:val="6345378C"/>
    <w:rsid w:val="64AB709D"/>
    <w:rsid w:val="6524B8C8"/>
    <w:rsid w:val="6539623B"/>
    <w:rsid w:val="659882F7"/>
    <w:rsid w:val="65E6104C"/>
    <w:rsid w:val="65ED08FF"/>
    <w:rsid w:val="66B7913C"/>
    <w:rsid w:val="6853486C"/>
    <w:rsid w:val="6A151B4F"/>
    <w:rsid w:val="6C8CACA6"/>
    <w:rsid w:val="6C96EE9E"/>
    <w:rsid w:val="6CA40DDE"/>
    <w:rsid w:val="6CD2B6C8"/>
    <w:rsid w:val="6D676724"/>
    <w:rsid w:val="6D9A3390"/>
    <w:rsid w:val="712DE9E9"/>
    <w:rsid w:val="733C4E40"/>
    <w:rsid w:val="745E32DE"/>
    <w:rsid w:val="749C094A"/>
    <w:rsid w:val="74A14693"/>
    <w:rsid w:val="75B6A0E2"/>
    <w:rsid w:val="762793C7"/>
    <w:rsid w:val="7940ADED"/>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79129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hAnsiTheme="minorHAnsi" w:eastAsiaTheme="minorHAnsi" w:cstheme="minorBidi"/>
      <w:sz w:val="20"/>
      <w:lang w:val="de-DE"/>
    </w:rPr>
  </w:style>
  <w:style w:type="character" w:styleId="FunotentextZchn" w:customStyle="1">
    <w:name w:val="Fußnotentext Zchn"/>
    <w:basedOn w:val="Absatz-Standardschriftart"/>
    <w:link w:val="Funotentext"/>
    <w:uiPriority w:val="99"/>
    <w:semiHidden/>
    <w:rsid w:val="00247D82"/>
    <w:rPr>
      <w:rFonts w:asciiTheme="minorHAnsi" w:hAnsiTheme="minorHAnsi" w:eastAsia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paragraph" w:styleId="pf0" w:customStyle="1">
    <w:name w:val="pf0"/>
    <w:basedOn w:val="Standard"/>
    <w:rsid w:val="00862F9D"/>
    <w:pPr>
      <w:spacing w:before="100" w:beforeAutospacing="1" w:after="100" w:afterAutospacing="1"/>
    </w:pPr>
    <w:rPr>
      <w:rFonts w:ascii="Times New Roman" w:hAnsi="Times New Roman"/>
      <w:sz w:val="24"/>
      <w:szCs w:val="24"/>
      <w:lang w:val="de-DE" w:eastAsia="de-DE"/>
    </w:rPr>
  </w:style>
  <w:style w:type="character" w:styleId="NichtaufgelsteErwhnung">
    <w:name w:val="Unresolved Mention"/>
    <w:basedOn w:val="Absatz-Standardschriftart"/>
    <w:uiPriority w:val="99"/>
    <w:semiHidden/>
    <w:unhideWhenUsed/>
    <w:rsid w:val="0004366A"/>
    <w:rPr>
      <w:color w:val="605E5C"/>
      <w:shd w:val="clear" w:color="auto" w:fill="E1DFDD"/>
    </w:rPr>
  </w:style>
  <w:style w:type="character" w:styleId="eop" w:customStyle="1">
    <w:name w:val="eop"/>
    <w:basedOn w:val="Absatz-Standardschriftart"/>
    <w:rsid w:val="0059158A"/>
  </w:style>
  <w:style w:type="paragraph" w:styleId="paragraph" w:customStyle="1">
    <w:name w:val="paragraph"/>
    <w:basedOn w:val="Standard"/>
    <w:rsid w:val="003864F1"/>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3700">
      <w:bodyDiv w:val="1"/>
      <w:marLeft w:val="0"/>
      <w:marRight w:val="0"/>
      <w:marTop w:val="0"/>
      <w:marBottom w:val="0"/>
      <w:divBdr>
        <w:top w:val="none" w:sz="0" w:space="0" w:color="auto"/>
        <w:left w:val="none" w:sz="0" w:space="0" w:color="auto"/>
        <w:bottom w:val="none" w:sz="0" w:space="0" w:color="auto"/>
        <w:right w:val="none" w:sz="0" w:space="0" w:color="auto"/>
      </w:divBdr>
      <w:divsChild>
        <w:div w:id="249852630">
          <w:marLeft w:val="0"/>
          <w:marRight w:val="0"/>
          <w:marTop w:val="0"/>
          <w:marBottom w:val="0"/>
          <w:divBdr>
            <w:top w:val="none" w:sz="0" w:space="0" w:color="auto"/>
            <w:left w:val="none" w:sz="0" w:space="0" w:color="auto"/>
            <w:bottom w:val="none" w:sz="0" w:space="0" w:color="auto"/>
            <w:right w:val="none" w:sz="0" w:space="0" w:color="auto"/>
          </w:divBdr>
        </w:div>
        <w:div w:id="399406882">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48191401">
      <w:bodyDiv w:val="1"/>
      <w:marLeft w:val="0"/>
      <w:marRight w:val="0"/>
      <w:marTop w:val="0"/>
      <w:marBottom w:val="0"/>
      <w:divBdr>
        <w:top w:val="none" w:sz="0" w:space="0" w:color="auto"/>
        <w:left w:val="none" w:sz="0" w:space="0" w:color="auto"/>
        <w:bottom w:val="none" w:sz="0" w:space="0" w:color="auto"/>
        <w:right w:val="none" w:sz="0" w:space="0" w:color="auto"/>
      </w:divBdr>
      <w:divsChild>
        <w:div w:id="114062335">
          <w:marLeft w:val="0"/>
          <w:marRight w:val="0"/>
          <w:marTop w:val="0"/>
          <w:marBottom w:val="0"/>
          <w:divBdr>
            <w:top w:val="none" w:sz="0" w:space="0" w:color="auto"/>
            <w:left w:val="none" w:sz="0" w:space="0" w:color="auto"/>
            <w:bottom w:val="none" w:sz="0" w:space="0" w:color="auto"/>
            <w:right w:val="none" w:sz="0" w:space="0" w:color="auto"/>
          </w:divBdr>
        </w:div>
        <w:div w:id="455369288">
          <w:marLeft w:val="0"/>
          <w:marRight w:val="0"/>
          <w:marTop w:val="0"/>
          <w:marBottom w:val="0"/>
          <w:divBdr>
            <w:top w:val="none" w:sz="0" w:space="0" w:color="auto"/>
            <w:left w:val="none" w:sz="0" w:space="0" w:color="auto"/>
            <w:bottom w:val="none" w:sz="0" w:space="0" w:color="auto"/>
            <w:right w:val="none" w:sz="0" w:space="0" w:color="auto"/>
          </w:divBdr>
        </w:div>
        <w:div w:id="2022395597">
          <w:marLeft w:val="0"/>
          <w:marRight w:val="0"/>
          <w:marTop w:val="0"/>
          <w:marBottom w:val="0"/>
          <w:divBdr>
            <w:top w:val="none" w:sz="0" w:space="0" w:color="auto"/>
            <w:left w:val="none" w:sz="0" w:space="0" w:color="auto"/>
            <w:bottom w:val="none" w:sz="0" w:space="0" w:color="auto"/>
            <w:right w:val="none" w:sz="0" w:space="0" w:color="auto"/>
          </w:divBdr>
        </w:div>
      </w:divsChild>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18828789">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52090767">
      <w:bodyDiv w:val="1"/>
      <w:marLeft w:val="0"/>
      <w:marRight w:val="0"/>
      <w:marTop w:val="0"/>
      <w:marBottom w:val="0"/>
      <w:divBdr>
        <w:top w:val="none" w:sz="0" w:space="0" w:color="auto"/>
        <w:left w:val="none" w:sz="0" w:space="0" w:color="auto"/>
        <w:bottom w:val="none" w:sz="0" w:space="0" w:color="auto"/>
        <w:right w:val="none" w:sz="0" w:space="0" w:color="auto"/>
      </w:divBdr>
      <w:divsChild>
        <w:div w:id="121308213">
          <w:marLeft w:val="0"/>
          <w:marRight w:val="0"/>
          <w:marTop w:val="0"/>
          <w:marBottom w:val="0"/>
          <w:divBdr>
            <w:top w:val="none" w:sz="0" w:space="0" w:color="auto"/>
            <w:left w:val="none" w:sz="0" w:space="0" w:color="auto"/>
            <w:bottom w:val="none" w:sz="0" w:space="0" w:color="auto"/>
            <w:right w:val="none" w:sz="0" w:space="0" w:color="auto"/>
          </w:divBdr>
        </w:div>
        <w:div w:id="2007199976">
          <w:marLeft w:val="0"/>
          <w:marRight w:val="0"/>
          <w:marTop w:val="0"/>
          <w:marBottom w:val="0"/>
          <w:divBdr>
            <w:top w:val="none" w:sz="0" w:space="0" w:color="auto"/>
            <w:left w:val="none" w:sz="0" w:space="0" w:color="auto"/>
            <w:bottom w:val="none" w:sz="0" w:space="0" w:color="auto"/>
            <w:right w:val="none" w:sz="0" w:space="0" w:color="auto"/>
          </w:divBdr>
        </w:div>
        <w:div w:id="445780645">
          <w:marLeft w:val="0"/>
          <w:marRight w:val="0"/>
          <w:marTop w:val="0"/>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weidmueller.de/nachhaltigkeitsbroschuer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weidmueller.de/de/unternehmen/unser_unternehmen/wer_wir_sind/index.jsp"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presse@weidmueller.com" TargetMode="External" Id="rId14" /><Relationship Type="http://schemas.microsoft.com/office/2011/relationships/people" Target="people.xml" Id="R2a09022850fe402a" /><Relationship Type="http://schemas.microsoft.com/office/2011/relationships/commentsExtended" Target="commentsExtended.xml" Id="R0b33e991101d44bd" /><Relationship Type="http://schemas.microsoft.com/office/2016/09/relationships/commentsIds" Target="commentsIds.xml" Id="Rd3e42f0e0d694f24" /><Relationship Type="http://schemas.openxmlformats.org/officeDocument/2006/relationships/hyperlink" Target="https://www.picdrop.com/weidmueller/trZjewXt5k" TargetMode="External" Id="R894c23a808bc4409" /><Relationship Type="http://schemas.openxmlformats.org/officeDocument/2006/relationships/image" Target="/media/image2.jpg" Id="Rfca3e59c34fc41ea" /><Relationship Type="http://schemas.openxmlformats.org/officeDocument/2006/relationships/image" Target="/media/image.tiff" Id="R1d1eec33d4b14f2c" /><Relationship Type="http://schemas.openxmlformats.org/officeDocument/2006/relationships/image" Target="/media/image4.png" Id="R5f45d51eb02245d5"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20" ma:contentTypeDescription="Ein neues Dokument erstellen." ma:contentTypeScope="" ma:versionID="1768f131809b6f2ff257a9a3feac7a1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23da50fa4d87210fa4b6605ce1b5908"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BB281716-3040-41BE-BDDE-3E01E1576D69}">
  <ds:schemaRefs>
    <ds:schemaRef ds:uri="http://schemas.openxmlformats.org/officeDocument/2006/bibliography"/>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31D26019-0F6E-4AF9-B183-60D66BD916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Jumo | Weidmüller | SPE in Gewächshäusern</dc:title>
  <dc:subject/>
  <dc:creator>presse@weidmueller.com</dc:creator>
  <cp:keywords/>
  <cp:lastModifiedBy>Rottwinkel, Melinda</cp:lastModifiedBy>
  <cp:revision>6</cp:revision>
  <cp:lastPrinted>2024-08-07T11:33:00Z</cp:lastPrinted>
  <dcterms:created xsi:type="dcterms:W3CDTF">2025-04-30T06:28:00Z</dcterms:created>
  <dcterms:modified xsi:type="dcterms:W3CDTF">2025-05-05T14:00:16Z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