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5F85" w14:textId="1DFF21EE" w:rsidR="001F383B" w:rsidRDefault="006372C2" w:rsidP="006372C2">
      <w:pPr>
        <w:rPr>
          <w:rFonts w:cs="Arial"/>
          <w:b/>
          <w:bCs/>
        </w:rPr>
      </w:pPr>
      <w:r w:rsidRPr="006372C2">
        <w:rPr>
          <w:rFonts w:cs="Arial"/>
          <w:b/>
          <w:bCs/>
        </w:rPr>
        <w:t>Facilitating sustainability reporting</w:t>
      </w:r>
    </w:p>
    <w:p w14:paraId="1F512B04" w14:textId="77777777" w:rsidR="006372C2" w:rsidRDefault="006372C2" w:rsidP="006372C2">
      <w:pPr>
        <w:rPr>
          <w:rFonts w:cs="Arial"/>
          <w:sz w:val="20"/>
        </w:rPr>
      </w:pPr>
    </w:p>
    <w:p w14:paraId="15CE6890" w14:textId="77777777" w:rsidR="006372C2" w:rsidRPr="006372C2" w:rsidRDefault="006372C2" w:rsidP="006372C2">
      <w:pPr>
        <w:rPr>
          <w:rFonts w:eastAsia="Arial" w:cs="Arial"/>
          <w:i/>
          <w:iCs/>
          <w:color w:val="000000" w:themeColor="text1"/>
          <w:szCs w:val="22"/>
        </w:rPr>
      </w:pPr>
      <w:r w:rsidRPr="006372C2">
        <w:rPr>
          <w:rFonts w:eastAsia="Arial" w:cs="Arial"/>
          <w:i/>
          <w:iCs/>
          <w:color w:val="000000" w:themeColor="text1"/>
          <w:szCs w:val="22"/>
        </w:rPr>
        <w:t xml:space="preserve">With </w:t>
      </w:r>
      <w:proofErr w:type="spellStart"/>
      <w:r w:rsidRPr="006372C2">
        <w:rPr>
          <w:rFonts w:eastAsia="Arial" w:cs="Arial"/>
          <w:i/>
          <w:iCs/>
          <w:color w:val="000000" w:themeColor="text1"/>
          <w:szCs w:val="22"/>
        </w:rPr>
        <w:t>ResMa</w:t>
      </w:r>
      <w:proofErr w:type="spellEnd"/>
      <w:r w:rsidRPr="006372C2">
        <w:rPr>
          <w:rFonts w:eastAsia="Arial" w:cs="Arial"/>
          <w:i/>
          <w:iCs/>
          <w:color w:val="000000" w:themeColor="text1"/>
          <w:szCs w:val="22"/>
          <w:vertAlign w:val="superscript"/>
        </w:rPr>
        <w:t>®</w:t>
      </w:r>
      <w:r w:rsidRPr="006372C2">
        <w:rPr>
          <w:rFonts w:eastAsia="Arial" w:cs="Arial"/>
          <w:i/>
          <w:iCs/>
          <w:color w:val="000000" w:themeColor="text1"/>
          <w:szCs w:val="22"/>
        </w:rPr>
        <w:t>, Weidmüller GTI Software offers CO</w:t>
      </w:r>
      <w:r w:rsidRPr="006372C2">
        <w:rPr>
          <w:rFonts w:eastAsia="Arial" w:cs="Arial"/>
          <w:i/>
          <w:iCs/>
          <w:color w:val="000000" w:themeColor="text1"/>
          <w:szCs w:val="22"/>
          <w:vertAlign w:val="subscript"/>
        </w:rPr>
        <w:t>2</w:t>
      </w:r>
      <w:r w:rsidRPr="006372C2">
        <w:rPr>
          <w:rFonts w:eastAsia="Arial" w:cs="Arial"/>
          <w:i/>
          <w:iCs/>
          <w:color w:val="000000" w:themeColor="text1"/>
          <w:szCs w:val="22"/>
        </w:rPr>
        <w:t xml:space="preserve"> accounting even for small and mid-sized </w:t>
      </w:r>
      <w:proofErr w:type="gramStart"/>
      <w:r w:rsidRPr="006372C2">
        <w:rPr>
          <w:rFonts w:eastAsia="Arial" w:cs="Arial"/>
          <w:i/>
          <w:iCs/>
          <w:color w:val="000000" w:themeColor="text1"/>
          <w:szCs w:val="22"/>
        </w:rPr>
        <w:t>companies</w:t>
      </w:r>
      <w:proofErr w:type="gramEnd"/>
    </w:p>
    <w:p w14:paraId="241D5EE6" w14:textId="77777777" w:rsidR="006372C2" w:rsidRDefault="006372C2" w:rsidP="006372C2">
      <w:pPr>
        <w:rPr>
          <w:rFonts w:cs="Arial"/>
          <w:sz w:val="20"/>
        </w:rPr>
      </w:pPr>
    </w:p>
    <w:p w14:paraId="06CC765C" w14:textId="77777777" w:rsidR="006372C2" w:rsidRPr="006372C2" w:rsidRDefault="006372C2" w:rsidP="006372C2">
      <w:pPr>
        <w:rPr>
          <w:rFonts w:cs="Arial"/>
          <w:sz w:val="20"/>
        </w:rPr>
      </w:pPr>
    </w:p>
    <w:p w14:paraId="317AB94A" w14:textId="297A6946" w:rsidR="006372C2" w:rsidRPr="006372C2" w:rsidRDefault="006372C2" w:rsidP="39A41CB1">
      <w:pPr>
        <w:spacing w:line="360" w:lineRule="auto"/>
        <w:jc w:val="both"/>
        <w:rPr>
          <w:rFonts w:eastAsia="Arial" w:cs="Arial"/>
          <w:color w:val="000000" w:themeColor="text1"/>
        </w:rPr>
      </w:pPr>
      <w:r w:rsidRPr="39A41CB1">
        <w:rPr>
          <w:rFonts w:eastAsia="Arial" w:cs="Arial"/>
          <w:color w:val="000000" w:themeColor="text1"/>
        </w:rPr>
        <w:t xml:space="preserve">Mid-sized and small enterprises are impacted indirectly by the sustainability reporting directive </w:t>
      </w:r>
      <w:r w:rsidR="367DC15E" w:rsidRPr="39A41CB1">
        <w:rPr>
          <w:rFonts w:eastAsia="Arial" w:cs="Arial"/>
          <w:color w:val="000000" w:themeColor="text1"/>
        </w:rPr>
        <w:t xml:space="preserve">(CRD) </w:t>
      </w:r>
      <w:r w:rsidRPr="39A41CB1">
        <w:rPr>
          <w:rFonts w:eastAsia="Arial" w:cs="Arial"/>
          <w:color w:val="000000" w:themeColor="text1"/>
        </w:rPr>
        <w:t>enacted by the EU. As suppliers to large companies, they will be obligated to provide precise information on the CO</w:t>
      </w:r>
      <w:r w:rsidRPr="39A41CB1">
        <w:rPr>
          <w:rFonts w:eastAsia="Arial" w:cs="Arial"/>
          <w:color w:val="000000" w:themeColor="text1"/>
          <w:vertAlign w:val="subscript"/>
        </w:rPr>
        <w:t>2</w:t>
      </w:r>
      <w:r w:rsidRPr="39A41CB1">
        <w:rPr>
          <w:rFonts w:eastAsia="Arial" w:cs="Arial"/>
          <w:color w:val="000000" w:themeColor="text1"/>
        </w:rPr>
        <w:t xml:space="preserve"> footprints of their </w:t>
      </w:r>
      <w:r w:rsidR="38828551" w:rsidRPr="39A41CB1">
        <w:rPr>
          <w:rFonts w:eastAsia="Arial" w:cs="Arial"/>
          <w:color w:val="000000" w:themeColor="text1"/>
        </w:rPr>
        <w:t xml:space="preserve">company and/or </w:t>
      </w:r>
      <w:r w:rsidRPr="39A41CB1">
        <w:rPr>
          <w:rFonts w:eastAsia="Arial" w:cs="Arial"/>
          <w:color w:val="000000" w:themeColor="text1"/>
        </w:rPr>
        <w:t xml:space="preserve">products. This is essential </w:t>
      </w:r>
      <w:proofErr w:type="gramStart"/>
      <w:r w:rsidRPr="39A41CB1">
        <w:rPr>
          <w:rFonts w:eastAsia="Arial" w:cs="Arial"/>
          <w:color w:val="000000" w:themeColor="text1"/>
        </w:rPr>
        <w:t>in order to</w:t>
      </w:r>
      <w:proofErr w:type="gramEnd"/>
      <w:r w:rsidRPr="39A41CB1">
        <w:rPr>
          <w:rFonts w:eastAsia="Arial" w:cs="Arial"/>
          <w:color w:val="000000" w:themeColor="text1"/>
        </w:rPr>
        <w:t xml:space="preserve"> be able to track CO</w:t>
      </w:r>
      <w:r w:rsidRPr="39A41CB1">
        <w:rPr>
          <w:rFonts w:eastAsia="Arial" w:cs="Arial"/>
          <w:color w:val="000000" w:themeColor="text1"/>
          <w:vertAlign w:val="subscript"/>
        </w:rPr>
        <w:t>2</w:t>
      </w:r>
      <w:r w:rsidRPr="39A41CB1">
        <w:rPr>
          <w:rFonts w:eastAsia="Arial" w:cs="Arial"/>
          <w:color w:val="000000" w:themeColor="text1"/>
        </w:rPr>
        <w:t xml:space="preserve"> emissions across all suppliers and to facilitate sustainability reporting.</w:t>
      </w:r>
    </w:p>
    <w:p w14:paraId="4C232A84" w14:textId="77777777" w:rsidR="006372C2" w:rsidRPr="006372C2" w:rsidRDefault="006372C2" w:rsidP="006372C2">
      <w:pPr>
        <w:spacing w:line="360" w:lineRule="auto"/>
        <w:jc w:val="both"/>
        <w:rPr>
          <w:rFonts w:eastAsia="Arial" w:cs="Arial"/>
          <w:color w:val="000000" w:themeColor="text1"/>
          <w:szCs w:val="22"/>
        </w:rPr>
      </w:pPr>
    </w:p>
    <w:p w14:paraId="7C22F399" w14:textId="5E0A24C5" w:rsidR="006372C2" w:rsidRPr="006372C2" w:rsidRDefault="006372C2" w:rsidP="39A41CB1">
      <w:pPr>
        <w:spacing w:line="360" w:lineRule="auto"/>
        <w:jc w:val="both"/>
        <w:rPr>
          <w:rFonts w:eastAsia="Arial" w:cs="Arial"/>
          <w:color w:val="000000" w:themeColor="text1"/>
        </w:rPr>
      </w:pPr>
      <w:r w:rsidRPr="39A41CB1">
        <w:rPr>
          <w:rFonts w:eastAsia="Arial" w:cs="Arial"/>
          <w:color w:val="000000" w:themeColor="text1"/>
        </w:rPr>
        <w:t>These measures are making energy management a more important focus in many companies. This is because calculating CO</w:t>
      </w:r>
      <w:r w:rsidRPr="39A41CB1">
        <w:rPr>
          <w:rFonts w:eastAsia="Arial" w:cs="Arial"/>
          <w:color w:val="000000" w:themeColor="text1"/>
          <w:vertAlign w:val="subscript"/>
        </w:rPr>
        <w:t>2</w:t>
      </w:r>
      <w:r w:rsidRPr="39A41CB1">
        <w:rPr>
          <w:rFonts w:eastAsia="Arial" w:cs="Arial"/>
          <w:color w:val="000000" w:themeColor="text1"/>
        </w:rPr>
        <w:t xml:space="preserve"> emissions is closely connected to the issue of energy management. Mapping</w:t>
      </w:r>
      <w:r w:rsidR="32C27897" w:rsidRPr="39A41CB1">
        <w:rPr>
          <w:rFonts w:eastAsia="Arial" w:cs="Arial"/>
          <w:color w:val="000000" w:themeColor="text1"/>
        </w:rPr>
        <w:t xml:space="preserve">/transparency of </w:t>
      </w:r>
      <w:r w:rsidRPr="39A41CB1">
        <w:rPr>
          <w:rFonts w:eastAsia="Arial" w:cs="Arial"/>
          <w:color w:val="000000" w:themeColor="text1"/>
        </w:rPr>
        <w:t>energy flows serves as the basis for evaluating energy efficiency and a company's CO</w:t>
      </w:r>
      <w:r w:rsidRPr="39A41CB1">
        <w:rPr>
          <w:rFonts w:eastAsia="Arial" w:cs="Arial"/>
          <w:color w:val="000000" w:themeColor="text1"/>
          <w:vertAlign w:val="subscript"/>
        </w:rPr>
        <w:t>2</w:t>
      </w:r>
      <w:r w:rsidRPr="39A41CB1">
        <w:rPr>
          <w:rFonts w:eastAsia="Arial" w:cs="Arial"/>
          <w:color w:val="000000" w:themeColor="text1"/>
        </w:rPr>
        <w:t xml:space="preserve"> footprint.</w:t>
      </w:r>
    </w:p>
    <w:p w14:paraId="63E83921" w14:textId="77777777" w:rsidR="006372C2" w:rsidRPr="006372C2" w:rsidRDefault="006372C2" w:rsidP="006372C2">
      <w:pPr>
        <w:spacing w:line="360" w:lineRule="auto"/>
        <w:jc w:val="both"/>
        <w:rPr>
          <w:rFonts w:eastAsia="Arial" w:cs="Arial"/>
          <w:color w:val="000000" w:themeColor="text1"/>
          <w:szCs w:val="22"/>
        </w:rPr>
      </w:pPr>
      <w:r w:rsidRPr="006372C2">
        <w:rPr>
          <w:rFonts w:eastAsia="Arial" w:cs="Arial"/>
          <w:color w:val="000000" w:themeColor="text1"/>
          <w:szCs w:val="22"/>
        </w:rPr>
        <w:t xml:space="preserve"> </w:t>
      </w:r>
    </w:p>
    <w:p w14:paraId="5EE48D44" w14:textId="77777777" w:rsidR="006372C2" w:rsidRPr="006372C2" w:rsidRDefault="006372C2" w:rsidP="006372C2">
      <w:pPr>
        <w:spacing w:line="360" w:lineRule="auto"/>
        <w:jc w:val="both"/>
        <w:rPr>
          <w:rFonts w:eastAsia="Arial" w:cs="Arial"/>
          <w:color w:val="000000" w:themeColor="text1"/>
          <w:szCs w:val="22"/>
        </w:rPr>
      </w:pPr>
      <w:r w:rsidRPr="006372C2">
        <w:rPr>
          <w:rFonts w:eastAsia="Arial" w:cs="Arial"/>
          <w:color w:val="000000" w:themeColor="text1"/>
          <w:szCs w:val="22"/>
        </w:rPr>
        <w:t xml:space="preserve">The open </w:t>
      </w:r>
      <w:proofErr w:type="spellStart"/>
      <w:r w:rsidRPr="006372C2">
        <w:rPr>
          <w:rFonts w:eastAsia="Arial" w:cs="Arial"/>
          <w:color w:val="000000" w:themeColor="text1"/>
          <w:szCs w:val="22"/>
        </w:rPr>
        <w:t>EnMS</w:t>
      </w:r>
      <w:proofErr w:type="spellEnd"/>
      <w:r w:rsidRPr="006372C2">
        <w:rPr>
          <w:rFonts w:eastAsia="Arial" w:cs="Arial"/>
          <w:color w:val="000000" w:themeColor="text1"/>
          <w:szCs w:val="22"/>
        </w:rPr>
        <w:t xml:space="preserve"> solution </w:t>
      </w:r>
      <w:proofErr w:type="spellStart"/>
      <w:r w:rsidRPr="006372C2">
        <w:rPr>
          <w:rFonts w:eastAsia="Arial" w:cs="Arial"/>
          <w:color w:val="000000" w:themeColor="text1"/>
          <w:szCs w:val="22"/>
        </w:rPr>
        <w:t>ResMa</w:t>
      </w:r>
      <w:proofErr w:type="spellEnd"/>
      <w:r w:rsidRPr="006372C2">
        <w:rPr>
          <w:rFonts w:eastAsia="Arial" w:cs="Arial"/>
          <w:color w:val="000000" w:themeColor="text1"/>
          <w:szCs w:val="22"/>
          <w:vertAlign w:val="superscript"/>
        </w:rPr>
        <w:t>®</w:t>
      </w:r>
      <w:r w:rsidRPr="006372C2">
        <w:rPr>
          <w:rFonts w:eastAsia="Arial" w:cs="Arial"/>
          <w:color w:val="000000" w:themeColor="text1"/>
          <w:szCs w:val="22"/>
        </w:rPr>
        <w:t xml:space="preserve"> from Weidmüller GTI Software offers comprehensive capabilities that can be easily implemented even in small companies:</w:t>
      </w:r>
    </w:p>
    <w:p w14:paraId="010C4139" w14:textId="77777777" w:rsidR="006372C2" w:rsidRPr="006372C2" w:rsidRDefault="006372C2" w:rsidP="006372C2">
      <w:pPr>
        <w:spacing w:line="360" w:lineRule="auto"/>
        <w:jc w:val="both"/>
        <w:rPr>
          <w:rFonts w:eastAsia="Arial" w:cs="Arial"/>
          <w:color w:val="000000" w:themeColor="text1"/>
          <w:szCs w:val="22"/>
        </w:rPr>
      </w:pPr>
    </w:p>
    <w:p w14:paraId="4E2EE12D" w14:textId="6D3414F1" w:rsidR="006372C2" w:rsidRPr="006372C2" w:rsidRDefault="006372C2" w:rsidP="47F5960F">
      <w:pPr>
        <w:pStyle w:val="Listenabsatz"/>
        <w:numPr>
          <w:ilvl w:val="0"/>
          <w:numId w:val="23"/>
        </w:numPr>
        <w:spacing w:line="360" w:lineRule="auto"/>
        <w:jc w:val="both"/>
        <w:rPr>
          <w:rFonts w:eastAsia="Arial" w:cs="Arial"/>
          <w:color w:val="000000" w:themeColor="text1"/>
        </w:rPr>
      </w:pPr>
      <w:r w:rsidRPr="47F5960F">
        <w:rPr>
          <w:rFonts w:eastAsia="Arial" w:cs="Arial"/>
          <w:color w:val="000000" w:themeColor="text1"/>
        </w:rPr>
        <w:t>Recording all resources in the production process, including quantities of materials used</w:t>
      </w:r>
      <w:r w:rsidR="156CD28F" w:rsidRPr="47F5960F">
        <w:rPr>
          <w:rFonts w:eastAsia="Arial" w:cs="Arial"/>
          <w:color w:val="000000" w:themeColor="text1"/>
        </w:rPr>
        <w:t>,</w:t>
      </w:r>
      <w:r w:rsidRPr="47F5960F">
        <w:rPr>
          <w:rFonts w:eastAsia="Arial" w:cs="Arial"/>
          <w:color w:val="000000" w:themeColor="text1"/>
        </w:rPr>
        <w:t xml:space="preserve"> through connecting to the corresponding machine and process controllers to directly adopt </w:t>
      </w:r>
      <w:proofErr w:type="gramStart"/>
      <w:r w:rsidRPr="47F5960F">
        <w:rPr>
          <w:rFonts w:eastAsia="Arial" w:cs="Arial"/>
          <w:color w:val="000000" w:themeColor="text1"/>
        </w:rPr>
        <w:t>data</w:t>
      </w:r>
      <w:proofErr w:type="gramEnd"/>
    </w:p>
    <w:p w14:paraId="77816166" w14:textId="1A3978F1" w:rsidR="006372C2" w:rsidRPr="006372C2" w:rsidRDefault="006372C2" w:rsidP="77838843">
      <w:pPr>
        <w:pStyle w:val="Listenabsatz"/>
        <w:numPr>
          <w:ilvl w:val="0"/>
          <w:numId w:val="23"/>
        </w:numPr>
        <w:spacing w:line="360" w:lineRule="auto"/>
        <w:jc w:val="both"/>
        <w:rPr>
          <w:rFonts w:eastAsia="Arial" w:cs="Arial"/>
          <w:color w:val="000000" w:themeColor="text1"/>
        </w:rPr>
      </w:pPr>
      <w:r w:rsidRPr="16592ADB">
        <w:rPr>
          <w:rFonts w:eastAsia="Arial" w:cs="Arial"/>
          <w:color w:val="000000" w:themeColor="text1"/>
        </w:rPr>
        <w:t>Order or batch-specific recording of all variables to differentiate production batches by specific products</w:t>
      </w:r>
      <w:r w:rsidR="73F04788" w:rsidRPr="16592ADB">
        <w:rPr>
          <w:rFonts w:eastAsia="Arial" w:cs="Arial"/>
          <w:color w:val="000000" w:themeColor="text1"/>
        </w:rPr>
        <w:t>.</w:t>
      </w:r>
      <w:r w:rsidRPr="16592ADB">
        <w:rPr>
          <w:rFonts w:eastAsia="Arial" w:cs="Arial"/>
          <w:color w:val="000000" w:themeColor="text1"/>
        </w:rPr>
        <w:t xml:space="preserve"> This makes product-specific comparisons and accounting possible.</w:t>
      </w:r>
    </w:p>
    <w:p w14:paraId="39827A7E" w14:textId="77777777" w:rsidR="006372C2" w:rsidRPr="006372C2" w:rsidRDefault="006372C2" w:rsidP="006372C2">
      <w:pPr>
        <w:pStyle w:val="Listenabsatz"/>
        <w:numPr>
          <w:ilvl w:val="0"/>
          <w:numId w:val="23"/>
        </w:numPr>
        <w:spacing w:line="360" w:lineRule="auto"/>
        <w:jc w:val="both"/>
        <w:rPr>
          <w:rFonts w:eastAsia="Arial" w:cs="Arial"/>
          <w:color w:val="000000" w:themeColor="text1"/>
          <w:szCs w:val="22"/>
        </w:rPr>
      </w:pPr>
      <w:r w:rsidRPr="006372C2">
        <w:rPr>
          <w:rFonts w:eastAsia="Arial" w:cs="Arial"/>
          <w:color w:val="000000" w:themeColor="text1"/>
          <w:szCs w:val="22"/>
        </w:rPr>
        <w:t>Calculating the CO</w:t>
      </w:r>
      <w:r w:rsidRPr="006372C2">
        <w:rPr>
          <w:rFonts w:eastAsia="Arial" w:cs="Arial"/>
          <w:color w:val="000000" w:themeColor="text1"/>
          <w:szCs w:val="22"/>
          <w:vertAlign w:val="subscript"/>
        </w:rPr>
        <w:t>2</w:t>
      </w:r>
      <w:r w:rsidRPr="006372C2">
        <w:rPr>
          <w:rFonts w:eastAsia="Arial" w:cs="Arial"/>
          <w:color w:val="000000" w:themeColor="text1"/>
          <w:szCs w:val="22"/>
        </w:rPr>
        <w:t xml:space="preserve"> load based on assessment factors for the resources </w:t>
      </w:r>
      <w:proofErr w:type="gramStart"/>
      <w:r w:rsidRPr="006372C2">
        <w:rPr>
          <w:rFonts w:eastAsia="Arial" w:cs="Arial"/>
          <w:color w:val="000000" w:themeColor="text1"/>
          <w:szCs w:val="22"/>
        </w:rPr>
        <w:t>used</w:t>
      </w:r>
      <w:proofErr w:type="gramEnd"/>
    </w:p>
    <w:p w14:paraId="5DA2181A" w14:textId="77777777" w:rsidR="006372C2" w:rsidRPr="006372C2" w:rsidRDefault="006372C2" w:rsidP="006372C2">
      <w:pPr>
        <w:pStyle w:val="Listenabsatz"/>
        <w:numPr>
          <w:ilvl w:val="0"/>
          <w:numId w:val="23"/>
        </w:numPr>
        <w:spacing w:line="360" w:lineRule="auto"/>
        <w:jc w:val="both"/>
        <w:rPr>
          <w:rFonts w:eastAsia="Arial" w:cs="Arial"/>
          <w:color w:val="000000" w:themeColor="text1"/>
          <w:szCs w:val="22"/>
        </w:rPr>
      </w:pPr>
      <w:r w:rsidRPr="006372C2">
        <w:rPr>
          <w:rFonts w:eastAsia="Arial" w:cs="Arial"/>
          <w:color w:val="000000" w:themeColor="text1"/>
          <w:szCs w:val="22"/>
        </w:rPr>
        <w:t>Comprehensive, freely configurable reporting on any time periods</w:t>
      </w:r>
    </w:p>
    <w:p w14:paraId="2E837F9A" w14:textId="77777777" w:rsidR="006372C2" w:rsidRPr="006372C2" w:rsidRDefault="006372C2" w:rsidP="006372C2">
      <w:pPr>
        <w:pStyle w:val="Listenabsatz"/>
        <w:numPr>
          <w:ilvl w:val="0"/>
          <w:numId w:val="23"/>
        </w:numPr>
        <w:spacing w:line="360" w:lineRule="auto"/>
        <w:jc w:val="both"/>
        <w:rPr>
          <w:rFonts w:eastAsia="Arial" w:cs="Arial"/>
          <w:color w:val="000000" w:themeColor="text1"/>
          <w:szCs w:val="22"/>
        </w:rPr>
      </w:pPr>
      <w:r w:rsidRPr="006372C2">
        <w:rPr>
          <w:rFonts w:eastAsia="Arial" w:cs="Arial"/>
          <w:color w:val="000000" w:themeColor="text1"/>
          <w:szCs w:val="22"/>
        </w:rPr>
        <w:t>Complete transparency by converting energy consumption into CO</w:t>
      </w:r>
      <w:r w:rsidRPr="006372C2">
        <w:rPr>
          <w:rFonts w:eastAsia="Arial" w:cs="Arial"/>
          <w:color w:val="000000" w:themeColor="text1"/>
          <w:szCs w:val="22"/>
          <w:vertAlign w:val="subscript"/>
        </w:rPr>
        <w:t>2</w:t>
      </w:r>
      <w:r w:rsidRPr="006372C2">
        <w:rPr>
          <w:rFonts w:eastAsia="Arial" w:cs="Arial"/>
          <w:color w:val="000000" w:themeColor="text1"/>
          <w:szCs w:val="22"/>
        </w:rPr>
        <w:t xml:space="preserve"> </w:t>
      </w:r>
      <w:proofErr w:type="gramStart"/>
      <w:r w:rsidRPr="006372C2">
        <w:rPr>
          <w:rFonts w:eastAsia="Arial" w:cs="Arial"/>
          <w:color w:val="000000" w:themeColor="text1"/>
          <w:szCs w:val="22"/>
        </w:rPr>
        <w:t>equivalents</w:t>
      </w:r>
      <w:proofErr w:type="gramEnd"/>
    </w:p>
    <w:p w14:paraId="05C30ED7" w14:textId="77777777" w:rsidR="006372C2" w:rsidRPr="006372C2" w:rsidRDefault="006372C2" w:rsidP="006372C2">
      <w:pPr>
        <w:spacing w:line="360" w:lineRule="auto"/>
        <w:jc w:val="both"/>
        <w:rPr>
          <w:rFonts w:eastAsia="Arial" w:cs="Arial"/>
          <w:color w:val="000000" w:themeColor="text1"/>
          <w:szCs w:val="22"/>
        </w:rPr>
      </w:pPr>
    </w:p>
    <w:p w14:paraId="271D040E" w14:textId="77777777" w:rsidR="006372C2" w:rsidRPr="006372C2" w:rsidRDefault="006372C2" w:rsidP="006372C2">
      <w:pPr>
        <w:spacing w:line="360" w:lineRule="auto"/>
        <w:jc w:val="both"/>
        <w:rPr>
          <w:rFonts w:eastAsia="Arial" w:cs="Arial"/>
          <w:color w:val="000000" w:themeColor="text1"/>
          <w:szCs w:val="22"/>
        </w:rPr>
      </w:pPr>
      <w:r w:rsidRPr="006372C2">
        <w:rPr>
          <w:rFonts w:eastAsia="Arial" w:cs="Arial"/>
          <w:color w:val="000000" w:themeColor="text1"/>
          <w:szCs w:val="22"/>
        </w:rPr>
        <w:t xml:space="preserve">When combined with an HMI-SCADA solution, the energy management software </w:t>
      </w:r>
      <w:proofErr w:type="spellStart"/>
      <w:r w:rsidRPr="006372C2">
        <w:rPr>
          <w:rFonts w:eastAsia="Arial" w:cs="Arial"/>
          <w:color w:val="000000" w:themeColor="text1"/>
          <w:szCs w:val="22"/>
        </w:rPr>
        <w:t>ResMa</w:t>
      </w:r>
      <w:proofErr w:type="spellEnd"/>
      <w:r w:rsidRPr="006372C2">
        <w:rPr>
          <w:rFonts w:eastAsia="Arial" w:cs="Arial"/>
          <w:color w:val="000000" w:themeColor="text1"/>
          <w:szCs w:val="22"/>
          <w:vertAlign w:val="superscript"/>
        </w:rPr>
        <w:t>®</w:t>
      </w:r>
      <w:r w:rsidRPr="006372C2">
        <w:rPr>
          <w:rFonts w:eastAsia="Arial" w:cs="Arial"/>
          <w:color w:val="000000" w:themeColor="text1"/>
          <w:szCs w:val="22"/>
        </w:rPr>
        <w:t xml:space="preserve"> makes broad process connection possible. Connections to third-party systems like SAP are also possible, allowing order data to be </w:t>
      </w:r>
      <w:r w:rsidRPr="006372C2">
        <w:rPr>
          <w:rFonts w:eastAsia="Arial" w:cs="Arial"/>
          <w:color w:val="000000" w:themeColor="text1"/>
          <w:szCs w:val="22"/>
        </w:rPr>
        <w:lastRenderedPageBreak/>
        <w:t xml:space="preserve">imported. This means the software can link data both via the order itself and via the production process: when was the order received, when was it completed, and how many pieces were produced? The electricity and gas meter can then be used to assign an order to exactly the amount of energy consumed during this time. </w:t>
      </w:r>
    </w:p>
    <w:p w14:paraId="58C9B4A6" w14:textId="4013766E" w:rsidR="006372C2" w:rsidRPr="006372C2" w:rsidRDefault="006372C2" w:rsidP="39A41CB1">
      <w:pPr>
        <w:spacing w:line="360" w:lineRule="auto"/>
        <w:jc w:val="both"/>
        <w:rPr>
          <w:rFonts w:eastAsia="Arial" w:cs="Arial"/>
          <w:color w:val="000000" w:themeColor="text1"/>
        </w:rPr>
      </w:pPr>
      <w:r w:rsidRPr="39A41CB1">
        <w:rPr>
          <w:rFonts w:eastAsia="Arial" w:cs="Arial"/>
          <w:color w:val="000000" w:themeColor="text1"/>
        </w:rPr>
        <w:t xml:space="preserve">After the analysis is complete, the user can choose the visualisation they need from multiple options. A Sankey diagram, for example, provides a good overview of the energy flows to the largest consumers. A heat map, in turn, shows levels throughout the day in a transparent way to help avoid load peaks. For standardized reporting, individual energy reports or production-specific evaluations can be sent automatically. In addition, interactive documentation within the energy management software supports the exchange of information between users. </w:t>
      </w:r>
    </w:p>
    <w:p w14:paraId="1F315E89" w14:textId="4621DC50" w:rsidR="006372C2" w:rsidRPr="006372C2" w:rsidRDefault="006372C2" w:rsidP="39A41CB1">
      <w:pPr>
        <w:spacing w:line="360" w:lineRule="auto"/>
        <w:jc w:val="both"/>
        <w:rPr>
          <w:rFonts w:eastAsia="Arial" w:cs="Arial"/>
          <w:color w:val="000000" w:themeColor="text1"/>
        </w:rPr>
      </w:pPr>
      <w:r w:rsidRPr="39A41CB1">
        <w:rPr>
          <w:rFonts w:eastAsia="Arial" w:cs="Arial"/>
          <w:color w:val="000000" w:themeColor="text1"/>
        </w:rPr>
        <w:t xml:space="preserve">In accordance with ISO 50001, </w:t>
      </w:r>
      <w:proofErr w:type="spellStart"/>
      <w:r w:rsidRPr="39A41CB1">
        <w:rPr>
          <w:rFonts w:eastAsia="Arial" w:cs="Arial"/>
          <w:color w:val="000000" w:themeColor="text1"/>
        </w:rPr>
        <w:t>ResMa</w:t>
      </w:r>
      <w:proofErr w:type="spellEnd"/>
      <w:r w:rsidRPr="39A41CB1">
        <w:rPr>
          <w:rFonts w:eastAsia="Arial" w:cs="Arial"/>
          <w:color w:val="000000" w:themeColor="text1"/>
          <w:vertAlign w:val="superscript"/>
        </w:rPr>
        <w:t>®</w:t>
      </w:r>
      <w:r w:rsidRPr="39A41CB1">
        <w:rPr>
          <w:rFonts w:eastAsia="Arial" w:cs="Arial"/>
          <w:color w:val="000000" w:themeColor="text1"/>
        </w:rPr>
        <w:t xml:space="preserve"> supports standardisation of KPIs. Weidmüller GTI Software is not restricting its work to simple computing </w:t>
      </w:r>
      <w:proofErr w:type="gramStart"/>
      <w:r w:rsidRPr="39A41CB1">
        <w:rPr>
          <w:rFonts w:eastAsia="Arial" w:cs="Arial"/>
          <w:color w:val="000000" w:themeColor="text1"/>
        </w:rPr>
        <w:t>operations, but</w:t>
      </w:r>
      <w:proofErr w:type="gramEnd"/>
      <w:r w:rsidRPr="39A41CB1">
        <w:rPr>
          <w:rFonts w:eastAsia="Arial" w:cs="Arial"/>
          <w:color w:val="000000" w:themeColor="text1"/>
        </w:rPr>
        <w:t xml:space="preserve"> is instead working with data scientists to create AI solutions. The goal is to consider as many variables as possible, then find and quantify relationships through supplementary methods. The results go beyond those obtained with classic statistical methods. This, then, makes it possible to run through different scenarios and predict their impacts with more precision than when using other processes.</w:t>
      </w:r>
    </w:p>
    <w:p w14:paraId="44047241" w14:textId="77777777" w:rsidR="006372C2" w:rsidRPr="006372C2" w:rsidRDefault="006372C2" w:rsidP="006372C2">
      <w:pPr>
        <w:spacing w:line="360" w:lineRule="auto"/>
        <w:jc w:val="both"/>
        <w:rPr>
          <w:rFonts w:eastAsia="Arial" w:cs="Arial"/>
          <w:color w:val="000000" w:themeColor="text1"/>
          <w:szCs w:val="22"/>
        </w:rPr>
      </w:pPr>
      <w:r w:rsidRPr="006372C2">
        <w:rPr>
          <w:rFonts w:eastAsia="Arial" w:cs="Arial"/>
          <w:color w:val="000000" w:themeColor="text1"/>
          <w:szCs w:val="22"/>
        </w:rPr>
        <w:t xml:space="preserve">Another advantage of </w:t>
      </w:r>
      <w:proofErr w:type="spellStart"/>
      <w:r w:rsidRPr="006372C2">
        <w:rPr>
          <w:rFonts w:eastAsia="Arial" w:cs="Arial"/>
          <w:color w:val="000000" w:themeColor="text1"/>
          <w:szCs w:val="22"/>
        </w:rPr>
        <w:t>ResMa</w:t>
      </w:r>
      <w:proofErr w:type="spellEnd"/>
      <w:r w:rsidRPr="006372C2">
        <w:rPr>
          <w:rFonts w:eastAsia="Arial" w:cs="Arial"/>
          <w:color w:val="000000" w:themeColor="text1"/>
          <w:szCs w:val="22"/>
          <w:vertAlign w:val="superscript"/>
        </w:rPr>
        <w:t>®</w:t>
      </w:r>
      <w:r w:rsidRPr="006372C2">
        <w:rPr>
          <w:rFonts w:eastAsia="Arial" w:cs="Arial"/>
          <w:color w:val="000000" w:themeColor="text1"/>
          <w:szCs w:val="22"/>
        </w:rPr>
        <w:t xml:space="preserve"> is that it is certified by TÜV Süd. In addition, the </w:t>
      </w:r>
      <w:proofErr w:type="spellStart"/>
      <w:r w:rsidRPr="006372C2">
        <w:rPr>
          <w:rFonts w:eastAsia="Arial" w:cs="Arial"/>
          <w:color w:val="000000" w:themeColor="text1"/>
          <w:szCs w:val="22"/>
        </w:rPr>
        <w:t>Bundesministerium</w:t>
      </w:r>
      <w:proofErr w:type="spellEnd"/>
      <w:r w:rsidRPr="006372C2">
        <w:rPr>
          <w:rFonts w:eastAsia="Arial" w:cs="Arial"/>
          <w:color w:val="000000" w:themeColor="text1"/>
          <w:szCs w:val="22"/>
        </w:rPr>
        <w:t xml:space="preserve"> für </w:t>
      </w:r>
      <w:proofErr w:type="spellStart"/>
      <w:r w:rsidRPr="006372C2">
        <w:rPr>
          <w:rFonts w:eastAsia="Arial" w:cs="Arial"/>
          <w:color w:val="000000" w:themeColor="text1"/>
          <w:szCs w:val="22"/>
        </w:rPr>
        <w:t>Wirtschaft</w:t>
      </w:r>
      <w:proofErr w:type="spellEnd"/>
      <w:r w:rsidRPr="006372C2">
        <w:rPr>
          <w:rFonts w:eastAsia="Arial" w:cs="Arial"/>
          <w:color w:val="000000" w:themeColor="text1"/>
          <w:szCs w:val="22"/>
        </w:rPr>
        <w:t xml:space="preserve"> und </w:t>
      </w:r>
      <w:proofErr w:type="spellStart"/>
      <w:r w:rsidRPr="006372C2">
        <w:rPr>
          <w:rFonts w:eastAsia="Arial" w:cs="Arial"/>
          <w:color w:val="000000" w:themeColor="text1"/>
          <w:szCs w:val="22"/>
        </w:rPr>
        <w:t>Ausfuhrkontrolle</w:t>
      </w:r>
      <w:proofErr w:type="spellEnd"/>
      <w:r w:rsidRPr="006372C2">
        <w:rPr>
          <w:rFonts w:eastAsia="Arial" w:cs="Arial"/>
          <w:color w:val="000000" w:themeColor="text1"/>
          <w:szCs w:val="22"/>
        </w:rPr>
        <w:t xml:space="preserve"> (BAFA - Federal Ministry of Economics and Export Control) promotes use of the tool. </w:t>
      </w:r>
    </w:p>
    <w:p w14:paraId="79A00233" w14:textId="77777777" w:rsidR="006372C2" w:rsidRPr="006372C2" w:rsidRDefault="006372C2" w:rsidP="006372C2">
      <w:pPr>
        <w:spacing w:line="360" w:lineRule="auto"/>
        <w:jc w:val="both"/>
        <w:rPr>
          <w:rFonts w:eastAsia="Arial" w:cs="Arial"/>
          <w:color w:val="000000" w:themeColor="text1"/>
          <w:szCs w:val="22"/>
        </w:rPr>
      </w:pPr>
    </w:p>
    <w:p w14:paraId="63E3A5A4" w14:textId="62A8DC22" w:rsidR="001F383B" w:rsidRPr="006372C2" w:rsidRDefault="006372C2" w:rsidP="4EBA6386">
      <w:pPr>
        <w:spacing w:line="360" w:lineRule="auto"/>
        <w:jc w:val="both"/>
        <w:rPr>
          <w:rFonts w:eastAsia="Arial" w:cs="Arial"/>
          <w:color w:val="000000" w:themeColor="text1"/>
          <w:szCs w:val="22"/>
        </w:rPr>
      </w:pPr>
      <w:r w:rsidRPr="006372C2">
        <w:rPr>
          <w:rFonts w:eastAsia="Arial" w:cs="Arial"/>
          <w:color w:val="000000" w:themeColor="text1"/>
          <w:szCs w:val="22"/>
        </w:rPr>
        <w:t xml:space="preserve">Energy management software </w:t>
      </w:r>
      <w:proofErr w:type="spellStart"/>
      <w:r w:rsidRPr="006372C2">
        <w:rPr>
          <w:rFonts w:eastAsia="Arial" w:cs="Arial"/>
          <w:color w:val="000000" w:themeColor="text1"/>
          <w:szCs w:val="22"/>
        </w:rPr>
        <w:t>ResMa</w:t>
      </w:r>
      <w:proofErr w:type="spellEnd"/>
      <w:r w:rsidRPr="006372C2">
        <w:rPr>
          <w:rFonts w:eastAsia="Arial" w:cs="Arial"/>
          <w:color w:val="000000" w:themeColor="text1"/>
          <w:szCs w:val="22"/>
          <w:vertAlign w:val="superscript"/>
        </w:rPr>
        <w:t>®</w:t>
      </w:r>
      <w:r w:rsidRPr="006372C2">
        <w:rPr>
          <w:rFonts w:eastAsia="Arial" w:cs="Arial"/>
          <w:color w:val="000000" w:themeColor="text1"/>
          <w:szCs w:val="22"/>
        </w:rPr>
        <w:t xml:space="preserve"> enables users to find their easiest path to Industrial IoT and automation. Weidmüller considers itself to be an enabler – “from data to value”. In addition to data analysis and visualisation, Weidmüller provides its customers with hardware and software for recording, </w:t>
      </w:r>
      <w:proofErr w:type="gramStart"/>
      <w:r w:rsidRPr="006372C2">
        <w:rPr>
          <w:rFonts w:eastAsia="Arial" w:cs="Arial"/>
          <w:color w:val="000000" w:themeColor="text1"/>
          <w:szCs w:val="22"/>
        </w:rPr>
        <w:t>pre-processing</w:t>
      </w:r>
      <w:proofErr w:type="gramEnd"/>
      <w:r w:rsidRPr="006372C2">
        <w:rPr>
          <w:rFonts w:eastAsia="Arial" w:cs="Arial"/>
          <w:color w:val="000000" w:themeColor="text1"/>
          <w:szCs w:val="22"/>
        </w:rPr>
        <w:t xml:space="preserve"> and managing data, as well as for data communication.</w:t>
      </w:r>
    </w:p>
    <w:p w14:paraId="7C88E274" w14:textId="77777777" w:rsidR="003F0303" w:rsidRPr="003F0303" w:rsidRDefault="003F0303" w:rsidP="001F383B">
      <w:pPr>
        <w:spacing w:line="360" w:lineRule="auto"/>
        <w:ind w:right="-851"/>
        <w:jc w:val="both"/>
        <w:rPr>
          <w:rFonts w:cs="Arial"/>
        </w:rPr>
      </w:pPr>
    </w:p>
    <w:p w14:paraId="2DBDB092" w14:textId="6E783771" w:rsidR="00E422D4" w:rsidRPr="003F0303" w:rsidRDefault="000A6F08" w:rsidP="4EBA6386">
      <w:pPr>
        <w:spacing w:line="360" w:lineRule="auto"/>
        <w:ind w:right="-851"/>
        <w:jc w:val="both"/>
        <w:rPr>
          <w:sz w:val="18"/>
          <w:szCs w:val="18"/>
        </w:rPr>
      </w:pPr>
      <w:r w:rsidRPr="39A41CB1">
        <w:rPr>
          <w:sz w:val="18"/>
          <w:szCs w:val="18"/>
        </w:rPr>
        <w:t>37</w:t>
      </w:r>
      <w:r w:rsidR="4DB34F2D" w:rsidRPr="39A41CB1">
        <w:rPr>
          <w:sz w:val="18"/>
          <w:szCs w:val="18"/>
        </w:rPr>
        <w:t>76</w:t>
      </w:r>
      <w:r w:rsidR="759B1E68" w:rsidRPr="39A41CB1">
        <w:rPr>
          <w:sz w:val="18"/>
          <w:szCs w:val="18"/>
        </w:rPr>
        <w:t xml:space="preserve"> </w:t>
      </w:r>
      <w:r w:rsidR="00301932" w:rsidRPr="39A41CB1">
        <w:rPr>
          <w:sz w:val="18"/>
          <w:szCs w:val="18"/>
        </w:rPr>
        <w:t xml:space="preserve">characters including </w:t>
      </w:r>
      <w:proofErr w:type="gramStart"/>
      <w:r w:rsidR="00301932" w:rsidRPr="39A41CB1">
        <w:rPr>
          <w:sz w:val="18"/>
          <w:szCs w:val="18"/>
        </w:rPr>
        <w:t>spaces</w:t>
      </w:r>
      <w:proofErr w:type="gramEnd"/>
    </w:p>
    <w:p w14:paraId="3ECE2C4A" w14:textId="56C52C03" w:rsidR="00E422D4" w:rsidRPr="000731C5" w:rsidRDefault="759B1E68" w:rsidP="00F57589">
      <w:pPr>
        <w:spacing w:line="360" w:lineRule="auto"/>
        <w:ind w:right="-851"/>
        <w:jc w:val="both"/>
        <w:rPr>
          <w:sz w:val="18"/>
        </w:rPr>
      </w:pPr>
      <w:r w:rsidRPr="4EBA6386">
        <w:rPr>
          <w:sz w:val="18"/>
          <w:szCs w:val="18"/>
        </w:rPr>
        <w:t xml:space="preserve"> </w:t>
      </w:r>
      <w:r w:rsidR="00301932" w:rsidRPr="4EBA6386">
        <w:rPr>
          <w:sz w:val="18"/>
          <w:szCs w:val="18"/>
        </w:rPr>
        <w:t xml:space="preserve"> </w:t>
      </w:r>
    </w:p>
    <w:p w14:paraId="26F6CFF1" w14:textId="77777777" w:rsidR="006372C2" w:rsidRDefault="006372C2" w:rsidP="15259608">
      <w:pPr>
        <w:spacing w:line="360" w:lineRule="auto"/>
        <w:ind w:right="-851"/>
        <w:jc w:val="both"/>
        <w:rPr>
          <w:sz w:val="18"/>
          <w:szCs w:val="18"/>
          <w:lang w:val="en-US"/>
        </w:rPr>
      </w:pPr>
      <w:bookmarkStart w:id="0" w:name="_Hlk123550621"/>
      <w:r>
        <w:rPr>
          <w:rFonts w:eastAsia="Arial" w:cs="Arial"/>
          <w:noProof/>
          <w:sz w:val="18"/>
          <w:szCs w:val="18"/>
          <w:lang w:val="en-US"/>
        </w:rPr>
        <w:lastRenderedPageBreak/>
        <w:drawing>
          <wp:inline distT="0" distB="0" distL="0" distR="0" wp14:anchorId="286CF8EE" wp14:editId="65940D04">
            <wp:extent cx="4857750" cy="3238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p w14:paraId="563D579E" w14:textId="150B2F79" w:rsidR="00E422D4" w:rsidRPr="00F0372B" w:rsidRDefault="00301932" w:rsidP="15259608">
      <w:pPr>
        <w:spacing w:line="360" w:lineRule="auto"/>
        <w:ind w:right="-851"/>
        <w:jc w:val="both"/>
        <w:rPr>
          <w:sz w:val="18"/>
          <w:szCs w:val="18"/>
          <w:lang w:val="en-US"/>
        </w:rPr>
      </w:pPr>
      <w:r w:rsidRPr="4EBA6386">
        <w:rPr>
          <w:sz w:val="18"/>
          <w:szCs w:val="18"/>
          <w:lang w:val="en-US"/>
        </w:rPr>
        <w:t>Image caption:</w:t>
      </w:r>
      <w:bookmarkEnd w:id="0"/>
      <w:r w:rsidR="000A6F08">
        <w:rPr>
          <w:sz w:val="18"/>
          <w:szCs w:val="18"/>
          <w:lang w:val="en-US"/>
        </w:rPr>
        <w:t xml:space="preserve"> </w:t>
      </w:r>
      <w:proofErr w:type="spellStart"/>
      <w:r w:rsidR="000A6F08">
        <w:rPr>
          <w:sz w:val="18"/>
          <w:szCs w:val="18"/>
          <w:lang w:val="en-US"/>
        </w:rPr>
        <w:t>ResMa</w:t>
      </w:r>
      <w:proofErr w:type="spellEnd"/>
      <w:r w:rsidR="000A6F08" w:rsidRPr="000A6F08">
        <w:rPr>
          <w:sz w:val="18"/>
          <w:szCs w:val="18"/>
          <w:vertAlign w:val="superscript"/>
          <w:lang w:val="en-US"/>
        </w:rPr>
        <w:t>®</w:t>
      </w:r>
      <w:r w:rsidR="000A6F08" w:rsidRPr="000A6F08">
        <w:rPr>
          <w:sz w:val="18"/>
          <w:szCs w:val="18"/>
          <w:lang w:val="en-US"/>
        </w:rPr>
        <w:t xml:space="preserve"> collects data centrally via connectors and offers a range of intelligent analysis and </w:t>
      </w:r>
      <w:proofErr w:type="spellStart"/>
      <w:r w:rsidR="000A6F08" w:rsidRPr="000A6F08">
        <w:rPr>
          <w:sz w:val="18"/>
          <w:szCs w:val="18"/>
          <w:lang w:val="en-US"/>
        </w:rPr>
        <w:t>visualisation</w:t>
      </w:r>
      <w:proofErr w:type="spellEnd"/>
      <w:r w:rsidR="000A6F08" w:rsidRPr="000A6F08">
        <w:rPr>
          <w:sz w:val="18"/>
          <w:szCs w:val="18"/>
          <w:lang w:val="en-US"/>
        </w:rPr>
        <w:t xml:space="preserve"> </w:t>
      </w:r>
      <w:proofErr w:type="gramStart"/>
      <w:r w:rsidR="000A6F08" w:rsidRPr="000A6F08">
        <w:rPr>
          <w:sz w:val="18"/>
          <w:szCs w:val="18"/>
          <w:lang w:val="en-US"/>
        </w:rPr>
        <w:t>options</w:t>
      </w:r>
      <w:proofErr w:type="gramEnd"/>
    </w:p>
    <w:p w14:paraId="4CC67C4D" w14:textId="6CEF2EC8" w:rsidR="000A6F08" w:rsidRDefault="000A6F08" w:rsidP="000A6F08">
      <w:pPr>
        <w:pStyle w:val="berschrift3"/>
        <w:shd w:val="clear" w:color="auto" w:fill="FFFFFF"/>
        <w:spacing w:before="0" w:after="180"/>
        <w:rPr>
          <w:rFonts w:ascii="Segoe UI" w:hAnsi="Segoe UI" w:cs="Segoe UI"/>
          <w:color w:val="323130"/>
          <w:sz w:val="30"/>
          <w:szCs w:val="30"/>
        </w:rPr>
      </w:pPr>
    </w:p>
    <w:p w14:paraId="759B6984" w14:textId="77777777" w:rsidR="000A6F08" w:rsidRPr="000A6F08" w:rsidRDefault="000A6F08" w:rsidP="000A6F08">
      <w:pPr>
        <w:pStyle w:val="StandardWeb"/>
        <w:shd w:val="clear" w:color="auto" w:fill="FFFFFF"/>
        <w:spacing w:after="336" w:line="360" w:lineRule="auto"/>
        <w:jc w:val="both"/>
        <w:rPr>
          <w:rFonts w:ascii="Arial" w:eastAsia="Arial" w:hAnsi="Arial" w:cs="Arial"/>
          <w:color w:val="000000" w:themeColor="text1"/>
          <w:sz w:val="18"/>
          <w:szCs w:val="18"/>
          <w:lang w:val="en-US"/>
        </w:rPr>
      </w:pPr>
      <w:r w:rsidRPr="39A41CB1">
        <w:rPr>
          <w:rFonts w:ascii="Arial" w:eastAsia="Arial" w:hAnsi="Arial" w:cs="Arial"/>
          <w:b/>
          <w:bCs/>
          <w:color w:val="000000" w:themeColor="text1"/>
          <w:sz w:val="18"/>
          <w:szCs w:val="18"/>
          <w:lang w:val="en-US"/>
        </w:rPr>
        <w:t>The Weidmüller Group</w:t>
      </w:r>
    </w:p>
    <w:p w14:paraId="0EFCB177" w14:textId="438A1D6D" w:rsidR="0575558D" w:rsidRDefault="0575558D" w:rsidP="39A41CB1">
      <w:pPr>
        <w:pStyle w:val="StandardWeb"/>
        <w:shd w:val="clear" w:color="auto" w:fill="FFFFFF" w:themeFill="background1"/>
        <w:spacing w:line="360" w:lineRule="auto"/>
        <w:jc w:val="both"/>
      </w:pPr>
      <w:r w:rsidRPr="39A41CB1">
        <w:rPr>
          <w:rFonts w:ascii="Arial" w:eastAsia="Arial" w:hAnsi="Arial" w:cs="Arial"/>
          <w:color w:val="000000" w:themeColor="text1"/>
          <w:sz w:val="18"/>
          <w:szCs w:val="18"/>
          <w:lang w:val="en-US"/>
        </w:rPr>
        <w:t xml:space="preserve">Smart Industrial Connectivity: Electrification, automation, </w:t>
      </w:r>
      <w:proofErr w:type="spellStart"/>
      <w:r w:rsidRPr="39A41CB1">
        <w:rPr>
          <w:rFonts w:ascii="Arial" w:eastAsia="Arial" w:hAnsi="Arial" w:cs="Arial"/>
          <w:color w:val="000000" w:themeColor="text1"/>
          <w:sz w:val="18"/>
          <w:szCs w:val="18"/>
          <w:lang w:val="en-US"/>
        </w:rPr>
        <w:t>digitalisation</w:t>
      </w:r>
      <w:proofErr w:type="spellEnd"/>
      <w:r w:rsidRPr="39A41CB1">
        <w:rPr>
          <w:rFonts w:ascii="Arial" w:eastAsia="Arial" w:hAnsi="Arial" w:cs="Arial"/>
          <w:color w:val="000000" w:themeColor="text1"/>
          <w:sz w:val="18"/>
          <w:szCs w:val="18"/>
          <w:lang w:val="en-US"/>
        </w:rPr>
        <w:t xml:space="preserve">,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2" w:anchor="wm-1246253">
        <w:r w:rsidRPr="39A41CB1">
          <w:rPr>
            <w:rStyle w:val="Hyperlink"/>
            <w:rFonts w:ascii="Arial" w:eastAsia="Arial" w:hAnsi="Arial" w:cs="Arial"/>
            <w:sz w:val="18"/>
            <w:szCs w:val="18"/>
            <w:lang w:val="en-US"/>
          </w:rPr>
          <w:t>Diversity with respect</w:t>
        </w:r>
      </w:hyperlink>
      <w:r w:rsidRPr="39A41CB1">
        <w:rPr>
          <w:rFonts w:ascii="Arial" w:eastAsia="Arial" w:hAnsi="Arial" w:cs="Arial"/>
          <w:color w:val="000000" w:themeColor="text1"/>
          <w:sz w:val="18"/>
          <w:szCs w:val="18"/>
          <w:lang w:val="en-US"/>
        </w:rPr>
        <w:t>.</w:t>
      </w:r>
    </w:p>
    <w:p w14:paraId="28AF335F" w14:textId="7424C2E2" w:rsidR="39A41CB1" w:rsidRDefault="39A41CB1" w:rsidP="39A41CB1">
      <w:pPr>
        <w:pStyle w:val="StandardWeb"/>
        <w:shd w:val="clear" w:color="auto" w:fill="FFFFFF" w:themeFill="background1"/>
        <w:spacing w:line="360" w:lineRule="auto"/>
        <w:jc w:val="both"/>
        <w:rPr>
          <w:rFonts w:ascii="Arial" w:eastAsia="Arial" w:hAnsi="Arial" w:cs="Arial"/>
          <w:color w:val="000000" w:themeColor="text1"/>
          <w:sz w:val="18"/>
          <w:szCs w:val="18"/>
          <w:lang w:val="en-US"/>
        </w:rPr>
      </w:pPr>
    </w:p>
    <w:p w14:paraId="50D54481" w14:textId="1D4C6791" w:rsidR="0575558D" w:rsidRDefault="0575558D" w:rsidP="39A41CB1">
      <w:pPr>
        <w:pStyle w:val="StandardWeb"/>
        <w:shd w:val="clear" w:color="auto" w:fill="FFFFFF" w:themeFill="background1"/>
        <w:spacing w:line="360" w:lineRule="auto"/>
        <w:jc w:val="both"/>
        <w:rPr>
          <w:rFonts w:ascii="Arial" w:eastAsia="Arial" w:hAnsi="Arial" w:cs="Arial"/>
          <w:color w:val="000000" w:themeColor="text1"/>
          <w:sz w:val="18"/>
          <w:szCs w:val="18"/>
          <w:lang w:val="en-US"/>
        </w:rPr>
      </w:pPr>
      <w:r w:rsidRPr="39A41CB1">
        <w:rPr>
          <w:rFonts w:ascii="Arial" w:eastAsia="Arial" w:hAnsi="Arial" w:cs="Arial"/>
          <w:color w:val="000000" w:themeColor="text1"/>
          <w:sz w:val="18"/>
          <w:szCs w:val="18"/>
          <w:lang w:val="en-US"/>
        </w:rPr>
        <w:t xml:space="preserve">Technologies and engagement for a </w:t>
      </w:r>
      <w:proofErr w:type="spellStart"/>
      <w:r w:rsidRPr="39A41CB1">
        <w:rPr>
          <w:rFonts w:ascii="Arial" w:eastAsia="Arial" w:hAnsi="Arial" w:cs="Arial"/>
          <w:color w:val="000000" w:themeColor="text1"/>
          <w:sz w:val="18"/>
          <w:szCs w:val="18"/>
          <w:lang w:val="en-US"/>
        </w:rPr>
        <w:t>liveable</w:t>
      </w:r>
      <w:proofErr w:type="spellEnd"/>
      <w:r w:rsidRPr="39A41CB1">
        <w:rPr>
          <w:rFonts w:ascii="Arial" w:eastAsia="Arial" w:hAnsi="Arial" w:cs="Arial"/>
          <w:color w:val="000000" w:themeColor="text1"/>
          <w:sz w:val="18"/>
          <w:szCs w:val="18"/>
          <w:lang w:val="en-US"/>
        </w:rPr>
        <w:t xml:space="preserve"> future - Weidmüller demonstrates how it approaches the topic of sustainability in its interactive </w:t>
      </w:r>
      <w:hyperlink r:id="rId13">
        <w:r w:rsidRPr="39A41CB1">
          <w:rPr>
            <w:rStyle w:val="Hyperlink"/>
            <w:rFonts w:ascii="Arial" w:eastAsia="Arial" w:hAnsi="Arial" w:cs="Arial"/>
            <w:sz w:val="18"/>
            <w:szCs w:val="18"/>
            <w:lang w:val="en-US"/>
          </w:rPr>
          <w:t>sustainability brochure</w:t>
        </w:r>
      </w:hyperlink>
      <w:r w:rsidRPr="39A41CB1">
        <w:rPr>
          <w:rFonts w:ascii="Arial" w:eastAsia="Arial" w:hAnsi="Arial" w:cs="Arial"/>
          <w:color w:val="000000" w:themeColor="text1"/>
          <w:sz w:val="18"/>
          <w:szCs w:val="18"/>
          <w:lang w:val="en-US"/>
        </w:rPr>
        <w:t>.</w:t>
      </w:r>
    </w:p>
    <w:p w14:paraId="6469B7BA" w14:textId="5C86535D" w:rsidR="39A41CB1" w:rsidRDefault="39A41CB1" w:rsidP="39A41CB1">
      <w:pPr>
        <w:pStyle w:val="StandardWeb"/>
        <w:shd w:val="clear" w:color="auto" w:fill="FFFFFF" w:themeFill="background1"/>
        <w:spacing w:line="360" w:lineRule="auto"/>
        <w:jc w:val="both"/>
        <w:rPr>
          <w:rFonts w:ascii="Arial" w:eastAsia="Arial" w:hAnsi="Arial" w:cs="Arial"/>
          <w:color w:val="000000" w:themeColor="text1"/>
          <w:sz w:val="18"/>
          <w:szCs w:val="18"/>
          <w:lang w:val="en-US"/>
        </w:rPr>
      </w:pPr>
    </w:p>
    <w:p w14:paraId="26E71320" w14:textId="77777777" w:rsidR="000A6F08" w:rsidRDefault="000A6F08" w:rsidP="000A6F08">
      <w:pPr>
        <w:tabs>
          <w:tab w:val="left" w:pos="1701"/>
        </w:tabs>
        <w:spacing w:line="360" w:lineRule="auto"/>
        <w:jc w:val="both"/>
        <w:rPr>
          <w:rFonts w:eastAsia="Arial" w:cs="Arial"/>
          <w:b/>
          <w:bCs/>
          <w:sz w:val="18"/>
          <w:szCs w:val="18"/>
          <w:lang w:val="en-US"/>
        </w:rPr>
      </w:pPr>
    </w:p>
    <w:p w14:paraId="7953BF34" w14:textId="38BE61E5" w:rsidR="15259608" w:rsidRDefault="15259608" w:rsidP="000A6F08">
      <w:pPr>
        <w:tabs>
          <w:tab w:val="left" w:pos="1701"/>
        </w:tabs>
        <w:spacing w:line="360" w:lineRule="auto"/>
        <w:jc w:val="both"/>
      </w:pPr>
      <w:r w:rsidRPr="39A41CB1">
        <w:rPr>
          <w:rFonts w:eastAsia="Arial" w:cs="Arial"/>
          <w:b/>
          <w:bCs/>
          <w:sz w:val="18"/>
          <w:szCs w:val="18"/>
          <w:lang w:val="en-US"/>
        </w:rPr>
        <w:t>Your contact:</w:t>
      </w:r>
      <w:r w:rsidRPr="39A41CB1">
        <w:rPr>
          <w:rFonts w:eastAsia="Arial" w:cs="Arial"/>
          <w:sz w:val="18"/>
          <w:szCs w:val="18"/>
          <w:lang w:val="en-US"/>
        </w:rPr>
        <w:t xml:space="preserve"> </w:t>
      </w:r>
      <w:r>
        <w:tab/>
      </w:r>
      <w:r>
        <w:tab/>
      </w:r>
      <w:r>
        <w:tab/>
      </w:r>
      <w:r w:rsidRPr="39A41CB1">
        <w:rPr>
          <w:rFonts w:eastAsia="Arial" w:cs="Arial"/>
          <w:sz w:val="18"/>
          <w:szCs w:val="18"/>
          <w:lang w:val="en-US"/>
        </w:rPr>
        <w:t xml:space="preserve">Weidmüller Corporate Communications </w:t>
      </w:r>
    </w:p>
    <w:p w14:paraId="1A878F7A" w14:textId="115D382D" w:rsidR="15259608" w:rsidRDefault="15259608" w:rsidP="000A6F08">
      <w:pPr>
        <w:tabs>
          <w:tab w:val="left" w:pos="1134"/>
          <w:tab w:val="left" w:pos="1701"/>
        </w:tabs>
        <w:spacing w:line="360" w:lineRule="auto"/>
        <w:jc w:val="both"/>
      </w:pPr>
      <w:r w:rsidRPr="39A41CB1">
        <w:rPr>
          <w:rFonts w:eastAsia="Arial" w:cs="Arial"/>
          <w:sz w:val="18"/>
          <w:szCs w:val="18"/>
          <w:lang w:val="en-US"/>
        </w:rPr>
        <w:t xml:space="preserve">   </w:t>
      </w:r>
      <w:r>
        <w:tab/>
      </w:r>
      <w:r>
        <w:tab/>
      </w:r>
      <w:r>
        <w:tab/>
      </w:r>
      <w:r>
        <w:tab/>
      </w:r>
      <w:r w:rsidRPr="39A41CB1">
        <w:rPr>
          <w:rFonts w:eastAsia="Arial" w:cs="Arial"/>
          <w:sz w:val="18"/>
          <w:szCs w:val="18"/>
          <w:lang w:val="en-US"/>
        </w:rPr>
        <w:t>Tel.: +49 5231 14-292322</w:t>
      </w:r>
    </w:p>
    <w:p w14:paraId="3ADCD712" w14:textId="6CB696B8" w:rsidR="15259608" w:rsidRDefault="15259608" w:rsidP="000A6F08">
      <w:pPr>
        <w:tabs>
          <w:tab w:val="left" w:pos="1134"/>
          <w:tab w:val="left" w:pos="1701"/>
        </w:tabs>
        <w:spacing w:line="360" w:lineRule="auto"/>
        <w:ind w:left="2124" w:firstLine="708"/>
        <w:jc w:val="both"/>
      </w:pPr>
      <w:r w:rsidRPr="39A41CB1">
        <w:rPr>
          <w:rFonts w:eastAsia="Arial" w:cs="Arial"/>
          <w:sz w:val="18"/>
          <w:szCs w:val="18"/>
          <w:lang w:val="en-US"/>
        </w:rPr>
        <w:t xml:space="preserve">Email: </w:t>
      </w:r>
      <w:hyperlink r:id="rId14">
        <w:r w:rsidRPr="39A41CB1">
          <w:rPr>
            <w:rStyle w:val="Hyperlink"/>
            <w:rFonts w:eastAsia="Arial" w:cs="Arial"/>
            <w:sz w:val="18"/>
            <w:szCs w:val="18"/>
            <w:lang w:val="en-US"/>
          </w:rPr>
          <w:t>presse@weidmueller.com</w:t>
        </w:r>
      </w:hyperlink>
    </w:p>
    <w:p w14:paraId="5891E67D" w14:textId="23C84300" w:rsidR="15259608" w:rsidRPr="00372433" w:rsidRDefault="15259608" w:rsidP="00372433">
      <w:pPr>
        <w:tabs>
          <w:tab w:val="left" w:pos="1134"/>
          <w:tab w:val="left" w:pos="1701"/>
        </w:tabs>
        <w:spacing w:line="360" w:lineRule="auto"/>
        <w:jc w:val="both"/>
        <w:rPr>
          <w:rFonts w:eastAsia="Arial" w:cs="Arial"/>
          <w:szCs w:val="22"/>
          <w:lang w:val="en-US"/>
        </w:rPr>
      </w:pP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5"/>
      <w:footerReference w:type="defaul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3BDF" w14:textId="77777777" w:rsidR="000731C5" w:rsidRDefault="000731C5">
      <w:r>
        <w:separator/>
      </w:r>
    </w:p>
  </w:endnote>
  <w:endnote w:type="continuationSeparator" w:id="0">
    <w:p w14:paraId="39908F23" w14:textId="77777777" w:rsidR="000731C5" w:rsidRDefault="000731C5">
      <w:r>
        <w:continuationSeparator/>
      </w:r>
    </w:p>
  </w:endnote>
  <w:endnote w:type="continuationNotice" w:id="1">
    <w:p w14:paraId="3A83B8D9" w14:textId="77777777" w:rsidR="000731C5" w:rsidRDefault="0007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3878" w14:textId="77777777" w:rsidR="000731C5" w:rsidRDefault="000731C5">
      <w:r>
        <w:separator/>
      </w:r>
    </w:p>
  </w:footnote>
  <w:footnote w:type="continuationSeparator" w:id="0">
    <w:p w14:paraId="0B35BD50" w14:textId="77777777" w:rsidR="000731C5" w:rsidRDefault="000731C5">
      <w:r>
        <w:continuationSeparator/>
      </w:r>
    </w:p>
  </w:footnote>
  <w:footnote w:type="continuationNotice" w:id="1">
    <w:p w14:paraId="183648DA" w14:textId="77777777" w:rsidR="000731C5" w:rsidRDefault="00073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8A757C"/>
    <w:multiLevelType w:val="hybridMultilevel"/>
    <w:tmpl w:val="4052FA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10"/>
  </w:num>
  <w:num w:numId="2" w16cid:durableId="1425107836">
    <w:abstractNumId w:val="22"/>
  </w:num>
  <w:num w:numId="3" w16cid:durableId="1467314156">
    <w:abstractNumId w:val="2"/>
  </w:num>
  <w:num w:numId="4" w16cid:durableId="909920200">
    <w:abstractNumId w:val="13"/>
  </w:num>
  <w:num w:numId="5" w16cid:durableId="1408112764">
    <w:abstractNumId w:val="19"/>
  </w:num>
  <w:num w:numId="6" w16cid:durableId="854078847">
    <w:abstractNumId w:val="8"/>
  </w:num>
  <w:num w:numId="7" w16cid:durableId="876350858">
    <w:abstractNumId w:val="18"/>
  </w:num>
  <w:num w:numId="8" w16cid:durableId="1230849269">
    <w:abstractNumId w:val="20"/>
  </w:num>
  <w:num w:numId="9" w16cid:durableId="124857449">
    <w:abstractNumId w:val="17"/>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9"/>
  </w:num>
  <w:num w:numId="15" w16cid:durableId="20797400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4"/>
  </w:num>
  <w:num w:numId="18" w16cid:durableId="398288488">
    <w:abstractNumId w:val="15"/>
  </w:num>
  <w:num w:numId="19" w16cid:durableId="73017511">
    <w:abstractNumId w:val="4"/>
  </w:num>
  <w:num w:numId="20" w16cid:durableId="858202944">
    <w:abstractNumId w:val="11"/>
  </w:num>
  <w:num w:numId="21" w16cid:durableId="57435107">
    <w:abstractNumId w:val="12"/>
  </w:num>
  <w:num w:numId="22" w16cid:durableId="1521701187">
    <w:abstractNumId w:val="21"/>
  </w:num>
  <w:num w:numId="23" w16cid:durableId="1689674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055E"/>
    <w:rsid w:val="000104E1"/>
    <w:rsid w:val="0001592A"/>
    <w:rsid w:val="00046596"/>
    <w:rsid w:val="000613DE"/>
    <w:rsid w:val="000731C5"/>
    <w:rsid w:val="00090D0E"/>
    <w:rsid w:val="000937D9"/>
    <w:rsid w:val="000A6F08"/>
    <w:rsid w:val="000B51EC"/>
    <w:rsid w:val="000F2FDE"/>
    <w:rsid w:val="001234D0"/>
    <w:rsid w:val="00133C3B"/>
    <w:rsid w:val="00170D47"/>
    <w:rsid w:val="00174929"/>
    <w:rsid w:val="00180FAA"/>
    <w:rsid w:val="00183E11"/>
    <w:rsid w:val="001A6467"/>
    <w:rsid w:val="001B3185"/>
    <w:rsid w:val="001C67FE"/>
    <w:rsid w:val="001F325A"/>
    <w:rsid w:val="001F383B"/>
    <w:rsid w:val="00222C6D"/>
    <w:rsid w:val="0023453C"/>
    <w:rsid w:val="00242DF9"/>
    <w:rsid w:val="00293327"/>
    <w:rsid w:val="002A1D22"/>
    <w:rsid w:val="002A6CB9"/>
    <w:rsid w:val="002D2289"/>
    <w:rsid w:val="002F0CFE"/>
    <w:rsid w:val="00301932"/>
    <w:rsid w:val="003154A8"/>
    <w:rsid w:val="00340492"/>
    <w:rsid w:val="003436A1"/>
    <w:rsid w:val="00347104"/>
    <w:rsid w:val="00351F8A"/>
    <w:rsid w:val="0035715E"/>
    <w:rsid w:val="003630EB"/>
    <w:rsid w:val="00371250"/>
    <w:rsid w:val="00372433"/>
    <w:rsid w:val="00393DBA"/>
    <w:rsid w:val="00394CD5"/>
    <w:rsid w:val="003C2488"/>
    <w:rsid w:val="003F0303"/>
    <w:rsid w:val="003F03DC"/>
    <w:rsid w:val="003F0DDB"/>
    <w:rsid w:val="00401D18"/>
    <w:rsid w:val="00413507"/>
    <w:rsid w:val="00417ED2"/>
    <w:rsid w:val="00445BD2"/>
    <w:rsid w:val="004538BC"/>
    <w:rsid w:val="00467CA9"/>
    <w:rsid w:val="00484CC9"/>
    <w:rsid w:val="00484F0F"/>
    <w:rsid w:val="004B4EED"/>
    <w:rsid w:val="004C4B0D"/>
    <w:rsid w:val="004D58D1"/>
    <w:rsid w:val="004F15A0"/>
    <w:rsid w:val="00506496"/>
    <w:rsid w:val="00512370"/>
    <w:rsid w:val="00515DAC"/>
    <w:rsid w:val="00532B9E"/>
    <w:rsid w:val="0053685A"/>
    <w:rsid w:val="00536C3D"/>
    <w:rsid w:val="00542BC6"/>
    <w:rsid w:val="00543E65"/>
    <w:rsid w:val="00552D24"/>
    <w:rsid w:val="0057710B"/>
    <w:rsid w:val="0058070C"/>
    <w:rsid w:val="005937AF"/>
    <w:rsid w:val="005A4D01"/>
    <w:rsid w:val="005A641F"/>
    <w:rsid w:val="005B048E"/>
    <w:rsid w:val="005B3979"/>
    <w:rsid w:val="005E592E"/>
    <w:rsid w:val="005F46A7"/>
    <w:rsid w:val="005F7898"/>
    <w:rsid w:val="006002D4"/>
    <w:rsid w:val="00602E26"/>
    <w:rsid w:val="00611406"/>
    <w:rsid w:val="006123C2"/>
    <w:rsid w:val="00617F08"/>
    <w:rsid w:val="00621533"/>
    <w:rsid w:val="0063529F"/>
    <w:rsid w:val="006372C2"/>
    <w:rsid w:val="00645E40"/>
    <w:rsid w:val="0067023E"/>
    <w:rsid w:val="0068051B"/>
    <w:rsid w:val="00691EE1"/>
    <w:rsid w:val="006C393F"/>
    <w:rsid w:val="006E13D9"/>
    <w:rsid w:val="007119FD"/>
    <w:rsid w:val="00741FF6"/>
    <w:rsid w:val="00745593"/>
    <w:rsid w:val="00763A9B"/>
    <w:rsid w:val="00771F6F"/>
    <w:rsid w:val="00783367"/>
    <w:rsid w:val="007903F1"/>
    <w:rsid w:val="007C470B"/>
    <w:rsid w:val="007E314E"/>
    <w:rsid w:val="007F45A2"/>
    <w:rsid w:val="0080108B"/>
    <w:rsid w:val="00806191"/>
    <w:rsid w:val="008133B1"/>
    <w:rsid w:val="008204DE"/>
    <w:rsid w:val="00853354"/>
    <w:rsid w:val="008611D3"/>
    <w:rsid w:val="00861FAA"/>
    <w:rsid w:val="008758C9"/>
    <w:rsid w:val="0088340F"/>
    <w:rsid w:val="0089101A"/>
    <w:rsid w:val="00894932"/>
    <w:rsid w:val="008A3CD4"/>
    <w:rsid w:val="008A6A5B"/>
    <w:rsid w:val="008B3A69"/>
    <w:rsid w:val="008B3BA1"/>
    <w:rsid w:val="008C7050"/>
    <w:rsid w:val="008D05A6"/>
    <w:rsid w:val="008E5192"/>
    <w:rsid w:val="008F1337"/>
    <w:rsid w:val="0090573D"/>
    <w:rsid w:val="00923CD3"/>
    <w:rsid w:val="00930C4A"/>
    <w:rsid w:val="0099006F"/>
    <w:rsid w:val="00991593"/>
    <w:rsid w:val="009E569D"/>
    <w:rsid w:val="009F58C2"/>
    <w:rsid w:val="00A05AA8"/>
    <w:rsid w:val="00A22EF7"/>
    <w:rsid w:val="00A60138"/>
    <w:rsid w:val="00A6086C"/>
    <w:rsid w:val="00A939D9"/>
    <w:rsid w:val="00AC7677"/>
    <w:rsid w:val="00AE66ED"/>
    <w:rsid w:val="00B21BC9"/>
    <w:rsid w:val="00B24DC8"/>
    <w:rsid w:val="00B26F41"/>
    <w:rsid w:val="00B27383"/>
    <w:rsid w:val="00B32213"/>
    <w:rsid w:val="00B369AF"/>
    <w:rsid w:val="00B77320"/>
    <w:rsid w:val="00B80C8B"/>
    <w:rsid w:val="00BB6E05"/>
    <w:rsid w:val="00BC512F"/>
    <w:rsid w:val="00BE3854"/>
    <w:rsid w:val="00BF0C09"/>
    <w:rsid w:val="00BF6E7D"/>
    <w:rsid w:val="00C03A3A"/>
    <w:rsid w:val="00C1340D"/>
    <w:rsid w:val="00C15661"/>
    <w:rsid w:val="00C22157"/>
    <w:rsid w:val="00C573E1"/>
    <w:rsid w:val="00CC185E"/>
    <w:rsid w:val="00CE43F3"/>
    <w:rsid w:val="00D26E05"/>
    <w:rsid w:val="00D31B4C"/>
    <w:rsid w:val="00D42711"/>
    <w:rsid w:val="00D43ED4"/>
    <w:rsid w:val="00D57B96"/>
    <w:rsid w:val="00D64190"/>
    <w:rsid w:val="00D67AD1"/>
    <w:rsid w:val="00D77DD8"/>
    <w:rsid w:val="00DA06B6"/>
    <w:rsid w:val="00DB60DC"/>
    <w:rsid w:val="00DB6523"/>
    <w:rsid w:val="00DC04AF"/>
    <w:rsid w:val="00DD1340"/>
    <w:rsid w:val="00DE3BFE"/>
    <w:rsid w:val="00E0195F"/>
    <w:rsid w:val="00E03970"/>
    <w:rsid w:val="00E122D1"/>
    <w:rsid w:val="00E16558"/>
    <w:rsid w:val="00E2459D"/>
    <w:rsid w:val="00E34072"/>
    <w:rsid w:val="00E422D4"/>
    <w:rsid w:val="00E4399C"/>
    <w:rsid w:val="00E43A8B"/>
    <w:rsid w:val="00EF60DE"/>
    <w:rsid w:val="00F027C8"/>
    <w:rsid w:val="00F0372B"/>
    <w:rsid w:val="00F1286D"/>
    <w:rsid w:val="00F227A2"/>
    <w:rsid w:val="00F344DC"/>
    <w:rsid w:val="00F5183B"/>
    <w:rsid w:val="00F56B2E"/>
    <w:rsid w:val="00F56DF2"/>
    <w:rsid w:val="00F57589"/>
    <w:rsid w:val="00F60385"/>
    <w:rsid w:val="00FA747B"/>
    <w:rsid w:val="00FC2A3C"/>
    <w:rsid w:val="00FD28E9"/>
    <w:rsid w:val="00FF114A"/>
    <w:rsid w:val="00FF28C8"/>
    <w:rsid w:val="00FF355C"/>
    <w:rsid w:val="0182A5F8"/>
    <w:rsid w:val="0311FFD5"/>
    <w:rsid w:val="03491BD5"/>
    <w:rsid w:val="03F112A1"/>
    <w:rsid w:val="04D7DC51"/>
    <w:rsid w:val="0554DE15"/>
    <w:rsid w:val="0575558D"/>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6CD28F"/>
    <w:rsid w:val="1595E5BE"/>
    <w:rsid w:val="16592ADB"/>
    <w:rsid w:val="18D9DF06"/>
    <w:rsid w:val="1A581DD8"/>
    <w:rsid w:val="1C795BE7"/>
    <w:rsid w:val="1D5DB920"/>
    <w:rsid w:val="1D6B67B5"/>
    <w:rsid w:val="1E9C0268"/>
    <w:rsid w:val="1EA0153C"/>
    <w:rsid w:val="200664DE"/>
    <w:rsid w:val="21C58011"/>
    <w:rsid w:val="21CB12FC"/>
    <w:rsid w:val="2589D0F5"/>
    <w:rsid w:val="279B1AC8"/>
    <w:rsid w:val="27A423E3"/>
    <w:rsid w:val="28BB3213"/>
    <w:rsid w:val="28DB7093"/>
    <w:rsid w:val="2B3761C3"/>
    <w:rsid w:val="2BC80439"/>
    <w:rsid w:val="30896C38"/>
    <w:rsid w:val="31C948D8"/>
    <w:rsid w:val="32191372"/>
    <w:rsid w:val="3237A061"/>
    <w:rsid w:val="32C27897"/>
    <w:rsid w:val="34911620"/>
    <w:rsid w:val="34E67923"/>
    <w:rsid w:val="34F9E91D"/>
    <w:rsid w:val="35755E34"/>
    <w:rsid w:val="363E4F7D"/>
    <w:rsid w:val="367DC15E"/>
    <w:rsid w:val="36844C5A"/>
    <w:rsid w:val="38828551"/>
    <w:rsid w:val="391809B9"/>
    <w:rsid w:val="394152E3"/>
    <w:rsid w:val="39A41CB1"/>
    <w:rsid w:val="3A2752A3"/>
    <w:rsid w:val="3A997ADE"/>
    <w:rsid w:val="3D53C6FF"/>
    <w:rsid w:val="3E3FA96C"/>
    <w:rsid w:val="3E435B4F"/>
    <w:rsid w:val="3E9B09F6"/>
    <w:rsid w:val="3F104A61"/>
    <w:rsid w:val="40473D31"/>
    <w:rsid w:val="422003C7"/>
    <w:rsid w:val="43922B8D"/>
    <w:rsid w:val="440949CF"/>
    <w:rsid w:val="471BD9FF"/>
    <w:rsid w:val="476687D2"/>
    <w:rsid w:val="477B3076"/>
    <w:rsid w:val="47F5960F"/>
    <w:rsid w:val="483E77F7"/>
    <w:rsid w:val="4848A82F"/>
    <w:rsid w:val="48DCF965"/>
    <w:rsid w:val="4B060E2A"/>
    <w:rsid w:val="4B210CDE"/>
    <w:rsid w:val="4C3D247D"/>
    <w:rsid w:val="4CD42B77"/>
    <w:rsid w:val="4D175698"/>
    <w:rsid w:val="4D9E8169"/>
    <w:rsid w:val="4DB34F2D"/>
    <w:rsid w:val="4E94B244"/>
    <w:rsid w:val="4EBA6386"/>
    <w:rsid w:val="4EEEC42D"/>
    <w:rsid w:val="51B5FA3B"/>
    <w:rsid w:val="5299B04C"/>
    <w:rsid w:val="567F6D50"/>
    <w:rsid w:val="58E178BC"/>
    <w:rsid w:val="59755934"/>
    <w:rsid w:val="59D4C4FB"/>
    <w:rsid w:val="5A207942"/>
    <w:rsid w:val="5C0E5796"/>
    <w:rsid w:val="5C2608F4"/>
    <w:rsid w:val="5D74D8CE"/>
    <w:rsid w:val="6064F32E"/>
    <w:rsid w:val="64A7C08C"/>
    <w:rsid w:val="64F9B7EF"/>
    <w:rsid w:val="651A5F6E"/>
    <w:rsid w:val="669A1FA6"/>
    <w:rsid w:val="69A99AF0"/>
    <w:rsid w:val="6A547C6D"/>
    <w:rsid w:val="6A89EA68"/>
    <w:rsid w:val="6C810191"/>
    <w:rsid w:val="6DB34B65"/>
    <w:rsid w:val="6DEF891F"/>
    <w:rsid w:val="6F84B9E4"/>
    <w:rsid w:val="705542A8"/>
    <w:rsid w:val="721102BC"/>
    <w:rsid w:val="73ACD31D"/>
    <w:rsid w:val="73F04788"/>
    <w:rsid w:val="74682135"/>
    <w:rsid w:val="74EF2F39"/>
    <w:rsid w:val="759B1E68"/>
    <w:rsid w:val="77838843"/>
    <w:rsid w:val="779E6663"/>
    <w:rsid w:val="79D17BBC"/>
    <w:rsid w:val="79E3BBE9"/>
    <w:rsid w:val="7D8475E2"/>
    <w:rsid w:val="7DEBDA0B"/>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paragraph" w:styleId="berschrift3">
    <w:name w:val="heading 3"/>
    <w:basedOn w:val="Standard"/>
    <w:next w:val="Standard"/>
    <w:link w:val="berschrift3Zchn"/>
    <w:uiPriority w:val="9"/>
    <w:semiHidden/>
    <w:unhideWhenUsed/>
    <w:qFormat/>
    <w:rsid w:val="000A6F0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paragraph" w:customStyle="1" w:styleId="pf0">
    <w:name w:val="pf0"/>
    <w:basedOn w:val="Standard"/>
    <w:rsid w:val="006372C2"/>
    <w:pPr>
      <w:spacing w:before="100" w:beforeAutospacing="1" w:after="100" w:afterAutospacing="1"/>
    </w:pPr>
    <w:rPr>
      <w:rFonts w:ascii="Times New Roman" w:hAnsi="Times New Roman"/>
      <w:sz w:val="24"/>
      <w:szCs w:val="24"/>
      <w:lang w:eastAsia="de-DE"/>
    </w:rPr>
  </w:style>
  <w:style w:type="character" w:customStyle="1" w:styleId="berschrift3Zchn">
    <w:name w:val="Überschrift 3 Zchn"/>
    <w:basedOn w:val="Absatz-Standardschriftart"/>
    <w:link w:val="berschrift3"/>
    <w:uiPriority w:val="9"/>
    <w:semiHidden/>
    <w:rsid w:val="000A6F08"/>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rsid w:val="0051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395">
      <w:bodyDiv w:val="1"/>
      <w:marLeft w:val="0"/>
      <w:marRight w:val="0"/>
      <w:marTop w:val="0"/>
      <w:marBottom w:val="0"/>
      <w:divBdr>
        <w:top w:val="none" w:sz="0" w:space="0" w:color="auto"/>
        <w:left w:val="none" w:sz="0" w:space="0" w:color="auto"/>
        <w:bottom w:val="none" w:sz="0" w:space="0" w:color="auto"/>
        <w:right w:val="none" w:sz="0" w:space="0" w:color="auto"/>
      </w:divBdr>
    </w:div>
    <w:div w:id="475487152">
      <w:bodyDiv w:val="1"/>
      <w:marLeft w:val="0"/>
      <w:marRight w:val="0"/>
      <w:marTop w:val="0"/>
      <w:marBottom w:val="0"/>
      <w:divBdr>
        <w:top w:val="none" w:sz="0" w:space="0" w:color="auto"/>
        <w:left w:val="none" w:sz="0" w:space="0" w:color="auto"/>
        <w:bottom w:val="none" w:sz="0" w:space="0" w:color="auto"/>
        <w:right w:val="none" w:sz="0" w:space="0" w:color="auto"/>
      </w:divBdr>
    </w:div>
    <w:div w:id="636881090">
      <w:bodyDiv w:val="1"/>
      <w:marLeft w:val="0"/>
      <w:marRight w:val="0"/>
      <w:marTop w:val="0"/>
      <w:marBottom w:val="0"/>
      <w:divBdr>
        <w:top w:val="none" w:sz="0" w:space="0" w:color="auto"/>
        <w:left w:val="none" w:sz="0" w:space="0" w:color="auto"/>
        <w:bottom w:val="none" w:sz="0" w:space="0" w:color="auto"/>
        <w:right w:val="none" w:sz="0" w:space="0" w:color="auto"/>
      </w:divBdr>
      <w:divsChild>
        <w:div w:id="398985347">
          <w:marLeft w:val="0"/>
          <w:marRight w:val="0"/>
          <w:marTop w:val="360"/>
          <w:marBottom w:val="360"/>
          <w:divBdr>
            <w:top w:val="none" w:sz="0" w:space="0" w:color="auto"/>
            <w:left w:val="none" w:sz="0" w:space="0" w:color="auto"/>
            <w:bottom w:val="none" w:sz="0" w:space="0" w:color="auto"/>
            <w:right w:val="none" w:sz="0" w:space="0" w:color="auto"/>
          </w:divBdr>
          <w:divsChild>
            <w:div w:id="2142258795">
              <w:marLeft w:val="0"/>
              <w:marRight w:val="0"/>
              <w:marTop w:val="0"/>
              <w:marBottom w:val="0"/>
              <w:divBdr>
                <w:top w:val="none" w:sz="0" w:space="0" w:color="auto"/>
                <w:left w:val="none" w:sz="0" w:space="0" w:color="auto"/>
                <w:bottom w:val="none" w:sz="0" w:space="0" w:color="auto"/>
                <w:right w:val="none" w:sz="0" w:space="0" w:color="auto"/>
              </w:divBdr>
              <w:divsChild>
                <w:div w:id="597106673">
                  <w:marLeft w:val="0"/>
                  <w:marRight w:val="0"/>
                  <w:marTop w:val="0"/>
                  <w:marBottom w:val="0"/>
                  <w:divBdr>
                    <w:top w:val="none" w:sz="0" w:space="0" w:color="auto"/>
                    <w:left w:val="none" w:sz="0" w:space="0" w:color="auto"/>
                    <w:bottom w:val="none" w:sz="0" w:space="0" w:color="auto"/>
                    <w:right w:val="none" w:sz="0" w:space="0" w:color="auto"/>
                  </w:divBdr>
                  <w:divsChild>
                    <w:div w:id="21435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8843">
          <w:marLeft w:val="0"/>
          <w:marRight w:val="0"/>
          <w:marTop w:val="360"/>
          <w:marBottom w:val="360"/>
          <w:divBdr>
            <w:top w:val="none" w:sz="0" w:space="0" w:color="auto"/>
            <w:left w:val="none" w:sz="0" w:space="0" w:color="auto"/>
            <w:bottom w:val="none" w:sz="0" w:space="0" w:color="auto"/>
            <w:right w:val="none" w:sz="0" w:space="0" w:color="auto"/>
          </w:divBdr>
          <w:divsChild>
            <w:div w:id="1097753064">
              <w:marLeft w:val="0"/>
              <w:marRight w:val="0"/>
              <w:marTop w:val="0"/>
              <w:marBottom w:val="0"/>
              <w:divBdr>
                <w:top w:val="none" w:sz="0" w:space="0" w:color="auto"/>
                <w:left w:val="none" w:sz="0" w:space="0" w:color="auto"/>
                <w:bottom w:val="none" w:sz="0" w:space="0" w:color="auto"/>
                <w:right w:val="none" w:sz="0" w:space="0" w:color="auto"/>
              </w:divBdr>
              <w:divsChild>
                <w:div w:id="5882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5189">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520974106">
      <w:bodyDiv w:val="1"/>
      <w:marLeft w:val="0"/>
      <w:marRight w:val="0"/>
      <w:marTop w:val="0"/>
      <w:marBottom w:val="0"/>
      <w:divBdr>
        <w:top w:val="none" w:sz="0" w:space="0" w:color="auto"/>
        <w:left w:val="none" w:sz="0" w:space="0" w:color="auto"/>
        <w:bottom w:val="none" w:sz="0" w:space="0" w:color="auto"/>
        <w:right w:val="none" w:sz="0" w:space="0" w:color="auto"/>
      </w:divBdr>
    </w:div>
    <w:div w:id="17124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d.adobe.com/view/655640f4-9081-4307-bbeb-10f58a72b85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com/int/company/our_company/who_we_are/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3D3507A3-62AF-4B53-BEC1-E0FC4366C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4.xml><?xml version="1.0" encoding="utf-8"?>
<ds:datastoreItem xmlns:ds="http://schemas.openxmlformats.org/officeDocument/2006/customXml" ds:itemID="{53F4305B-5333-4B2D-AC3F-28E159E76020}">
  <ds:schemaRefs>
    <ds:schemaRef ds:uri="dde8b94e-0d97-4c33-9139-0fa9dfaadaee"/>
    <ds:schemaRef ds:uri="http://schemas.microsoft.com/office/infopath/2007/PartnerControls"/>
    <ds:schemaRef ds:uri="http://purl.org/dc/terms/"/>
    <ds:schemaRef ds:uri="http://schemas.microsoft.com/office/2006/documentManagement/types"/>
    <ds:schemaRef ds:uri="http://purl.org/dc/elements/1.1/"/>
    <ds:schemaRef ds:uri="ef0bd676-2fa1-4f90-9075-fcc9bbed01ad"/>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4462</Characters>
  <Application>Microsoft Office Word</Application>
  <DocSecurity>0</DocSecurity>
  <Lines>37</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Lödige, Silke</dc:creator>
  <cp:keywords/>
  <dc:description/>
  <cp:lastModifiedBy>Rottwinkel, Melinda</cp:lastModifiedBy>
  <cp:revision>2</cp:revision>
  <dcterms:created xsi:type="dcterms:W3CDTF">2024-04-02T09:27:00Z</dcterms:created>
  <dcterms:modified xsi:type="dcterms:W3CDTF">2024-04-02T09:27:00Z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