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254E" w14:textId="1C4BBDCD" w:rsidR="0D2465AE" w:rsidRPr="0048351D" w:rsidRDefault="005967D2" w:rsidP="0D2465AE">
      <w:pPr>
        <w:spacing w:line="360" w:lineRule="auto"/>
        <w:jc w:val="both"/>
        <w:rPr>
          <w:rFonts w:eastAsia="Arial" w:cs="Arial"/>
          <w:b/>
          <w:bCs/>
          <w:color w:val="000000" w:themeColor="text1"/>
          <w:szCs w:val="22"/>
        </w:rPr>
      </w:pPr>
      <w:r>
        <w:rPr>
          <w:b/>
          <w:color w:val="000000" w:themeColor="text1"/>
        </w:rPr>
        <w:t xml:space="preserve">The </w:t>
      </w:r>
      <w:r>
        <w:rPr>
          <w:b/>
        </w:rPr>
        <w:t xml:space="preserve">new </w:t>
      </w:r>
      <w:proofErr w:type="spellStart"/>
      <w:r>
        <w:rPr>
          <w:b/>
        </w:rPr>
        <w:t>Klippon</w:t>
      </w:r>
      <w:proofErr w:type="spellEnd"/>
      <w:r>
        <w:rPr>
          <w:b/>
          <w:vertAlign w:val="superscript"/>
        </w:rPr>
        <w:t>®</w:t>
      </w:r>
      <w:r>
        <w:rPr>
          <w:b/>
        </w:rPr>
        <w:t xml:space="preserve"> Connect terminal block with the lateral PUSH IN wire connection technology</w:t>
      </w:r>
    </w:p>
    <w:p w14:paraId="6AC7BAC6" w14:textId="39A445B3" w:rsidR="0D2465AE" w:rsidRPr="00341301" w:rsidRDefault="0D2465AE" w:rsidP="0D2465AE">
      <w:pPr>
        <w:spacing w:line="360" w:lineRule="auto"/>
        <w:jc w:val="both"/>
        <w:rPr>
          <w:rFonts w:eastAsia="Arial" w:cs="Arial"/>
          <w:color w:val="000000" w:themeColor="text1"/>
          <w:szCs w:val="22"/>
          <w:lang w:val="en-US"/>
        </w:rPr>
      </w:pPr>
    </w:p>
    <w:p w14:paraId="16A677AC" w14:textId="70658BC0" w:rsidR="00F55FB8" w:rsidRPr="0048351D" w:rsidRDefault="00F55FB8" w:rsidP="00F55FB8">
      <w:pPr>
        <w:spacing w:line="360" w:lineRule="auto"/>
        <w:jc w:val="both"/>
        <w:rPr>
          <w:rFonts w:cs="Arial"/>
          <w:i/>
          <w:iCs/>
          <w:szCs w:val="22"/>
        </w:rPr>
      </w:pPr>
      <w:r>
        <w:rPr>
          <w:i/>
        </w:rPr>
        <w:t xml:space="preserve">The </w:t>
      </w:r>
      <w:bookmarkStart w:id="0" w:name="_Hlk130297643"/>
      <w:r>
        <w:rPr>
          <w:i/>
        </w:rPr>
        <w:t xml:space="preserve">new </w:t>
      </w:r>
      <w:proofErr w:type="spellStart"/>
      <w:r>
        <w:rPr>
          <w:i/>
        </w:rPr>
        <w:t>Klippon</w:t>
      </w:r>
      <w:proofErr w:type="spellEnd"/>
      <w:r>
        <w:rPr>
          <w:i/>
          <w:vertAlign w:val="superscript"/>
        </w:rPr>
        <w:t>®</w:t>
      </w:r>
      <w:r>
        <w:rPr>
          <w:i/>
        </w:rPr>
        <w:t xml:space="preserve"> Connect terminal block with the lateral PUSH IN conductor connection </w:t>
      </w:r>
      <w:bookmarkEnd w:id="0"/>
      <w:r>
        <w:rPr>
          <w:i/>
        </w:rPr>
        <w:t>combines the advantages of PUSH IN and screw connection technology.</w:t>
      </w:r>
    </w:p>
    <w:p w14:paraId="5FA4CFB3" w14:textId="77777777" w:rsidR="00F55FB8" w:rsidRPr="00341301" w:rsidRDefault="00F55FB8" w:rsidP="00F55FB8">
      <w:pPr>
        <w:spacing w:line="360" w:lineRule="auto"/>
        <w:jc w:val="both"/>
        <w:rPr>
          <w:rFonts w:cs="Arial"/>
          <w:szCs w:val="22"/>
          <w:lang w:val="en-US"/>
        </w:rPr>
      </w:pPr>
    </w:p>
    <w:p w14:paraId="0B49AD52" w14:textId="3810C157" w:rsidR="00F55FB8" w:rsidRPr="0048351D" w:rsidRDefault="00F55FB8" w:rsidP="00F55FB8">
      <w:pPr>
        <w:spacing w:line="360" w:lineRule="auto"/>
        <w:jc w:val="both"/>
        <w:rPr>
          <w:rFonts w:cs="Arial"/>
          <w:szCs w:val="22"/>
        </w:rPr>
      </w:pPr>
      <w:r>
        <w:t xml:space="preserve">The demands on modern industrial plants and machine control systems are constantly increasing, especially when it comes to space requirements and installation in small and flat distribution boxes. Wiring such installations is particularly challenging, as it is often tedious and time-consuming. This calls for special connection technologies that enable safe and efficient wiring in confined spaces. The challenge is to find solutions that reduce space requirements, increase connection </w:t>
      </w:r>
      <w:proofErr w:type="gramStart"/>
      <w:r>
        <w:t>safety</w:t>
      </w:r>
      <w:proofErr w:type="gramEnd"/>
      <w:r>
        <w:t xml:space="preserve"> and simultaneously ensure easy maintenance and repair.</w:t>
      </w:r>
    </w:p>
    <w:p w14:paraId="7D41C14B" w14:textId="77777777" w:rsidR="00F55FB8" w:rsidRPr="00341301" w:rsidRDefault="00F55FB8" w:rsidP="00F55FB8">
      <w:pPr>
        <w:spacing w:line="360" w:lineRule="auto"/>
        <w:jc w:val="both"/>
        <w:rPr>
          <w:rFonts w:cs="Arial"/>
          <w:szCs w:val="22"/>
          <w:lang w:val="en-US"/>
        </w:rPr>
      </w:pPr>
    </w:p>
    <w:p w14:paraId="1C1B4A8A" w14:textId="6697562A" w:rsidR="00C2581D" w:rsidRPr="0048351D" w:rsidRDefault="00F55FB8" w:rsidP="00C2581D">
      <w:pPr>
        <w:spacing w:line="360" w:lineRule="auto"/>
        <w:jc w:val="both"/>
        <w:rPr>
          <w:rFonts w:cs="Arial"/>
          <w:szCs w:val="22"/>
        </w:rPr>
      </w:pPr>
      <w:r>
        <w:t xml:space="preserve">To meet these challenges, </w:t>
      </w:r>
      <w:proofErr w:type="spellStart"/>
      <w:r>
        <w:t>Weidmüller’s</w:t>
      </w:r>
      <w:proofErr w:type="spellEnd"/>
      <w:r>
        <w:t xml:space="preserve"> new </w:t>
      </w:r>
      <w:proofErr w:type="spellStart"/>
      <w:r>
        <w:t>Klippon</w:t>
      </w:r>
      <w:proofErr w:type="spellEnd"/>
      <w:r>
        <w:rPr>
          <w:vertAlign w:val="superscript"/>
        </w:rPr>
        <w:t>®</w:t>
      </w:r>
      <w:r>
        <w:t xml:space="preserve"> Connect terminal blocks with the lateral PUSH IN connection offer an innovative solution for efficient and safe wiring in confined distribution boxes. The terminal blocks combine the advantages of proven screw connection technology with the simple and reliable operation of PUSH IN technology. This allows for tool-free, well-organised wiring without a protruding bending radius. The lateral insertion of the conductors into the terminal reduces the installation height and increases the reliability of the connection without having to bend the cable. This enables clearly arranged and space-saving wiring. The clear layout of the lateral conductor entry means that the terminal blocks are accessible for test systems even when wired. At the same time, the convenient PUSH IN connection provides a vibration-proof, gas-tight and permanently reliable connection. </w:t>
      </w:r>
      <w:r>
        <w:rPr>
          <w:color w:val="000000"/>
        </w:rPr>
        <w:t xml:space="preserve">If the conductor </w:t>
      </w:r>
      <w:proofErr w:type="gramStart"/>
      <w:r>
        <w:rPr>
          <w:color w:val="000000"/>
        </w:rPr>
        <w:t>has to</w:t>
      </w:r>
      <w:proofErr w:type="gramEnd"/>
      <w:r>
        <w:rPr>
          <w:color w:val="000000"/>
        </w:rPr>
        <w:t xml:space="preserve"> be disconnected again, simply press the pusher on the top of the terminal.</w:t>
      </w:r>
    </w:p>
    <w:p w14:paraId="248AE03B" w14:textId="6553664A" w:rsidR="00F55FB8" w:rsidRPr="0048351D" w:rsidRDefault="00F55FB8" w:rsidP="00F55FB8">
      <w:pPr>
        <w:spacing w:line="360" w:lineRule="auto"/>
        <w:jc w:val="both"/>
        <w:rPr>
          <w:rFonts w:cs="Arial"/>
          <w:szCs w:val="22"/>
        </w:rPr>
      </w:pPr>
      <w:r>
        <w:t xml:space="preserve">In addition, the markings and functional areas are clearly visible – even when wired. </w:t>
      </w:r>
    </w:p>
    <w:p w14:paraId="219BA105" w14:textId="77777777" w:rsidR="00F55FB8" w:rsidRPr="00341301" w:rsidRDefault="00F55FB8" w:rsidP="00F55FB8">
      <w:pPr>
        <w:spacing w:line="360" w:lineRule="auto"/>
        <w:jc w:val="both"/>
        <w:rPr>
          <w:rFonts w:cs="Arial"/>
          <w:szCs w:val="22"/>
          <w:lang w:val="en-US"/>
        </w:rPr>
      </w:pPr>
    </w:p>
    <w:p w14:paraId="583D0E4C" w14:textId="7AA99315" w:rsidR="00F25A8B" w:rsidRPr="0048351D" w:rsidRDefault="00F55FB8" w:rsidP="00F25A8B">
      <w:pPr>
        <w:spacing w:line="360" w:lineRule="auto"/>
        <w:jc w:val="both"/>
        <w:rPr>
          <w:rFonts w:cs="Arial"/>
          <w:color w:val="000000"/>
        </w:rPr>
      </w:pPr>
      <w:r>
        <w:lastRenderedPageBreak/>
        <w:t>As a result, installers benefit from easy installation and a fast, error-free maintenance and repair process for the components. In addition, it’s compatible with PUSH IN terminal blocks and a wide range of A-series accessories</w:t>
      </w:r>
      <w:r>
        <w:rPr>
          <w:color w:val="374151"/>
          <w:shd w:val="clear" w:color="auto" w:fill="F7F7F8"/>
        </w:rPr>
        <w:t>.</w:t>
      </w:r>
      <w:r>
        <w:t xml:space="preserve"> </w:t>
      </w:r>
      <w:r>
        <w:rPr>
          <w:color w:val="000000"/>
        </w:rPr>
        <w:t>This facilitates the duplication of potentials via cross-connections and reduces ordering and storage costs.</w:t>
      </w:r>
    </w:p>
    <w:p w14:paraId="0EAE2FE8" w14:textId="77777777" w:rsidR="0048351D" w:rsidRPr="00341301" w:rsidRDefault="0048351D" w:rsidP="00F55FB8">
      <w:pPr>
        <w:spacing w:line="360" w:lineRule="auto"/>
        <w:jc w:val="both"/>
        <w:rPr>
          <w:rFonts w:cs="Arial"/>
          <w:szCs w:val="22"/>
          <w:lang w:val="en-US"/>
        </w:rPr>
      </w:pPr>
    </w:p>
    <w:p w14:paraId="0257FFBA" w14:textId="40228042" w:rsidR="00F55FB8" w:rsidRPr="0048351D" w:rsidRDefault="00F55FB8" w:rsidP="00F55FB8">
      <w:pPr>
        <w:spacing w:line="360" w:lineRule="auto"/>
        <w:jc w:val="both"/>
        <w:rPr>
          <w:rFonts w:cs="Arial"/>
          <w:szCs w:val="22"/>
        </w:rPr>
      </w:pPr>
      <w:r>
        <w:t xml:space="preserve">Thanks to the advantages of PUSH IN and screw connection technology, the new </w:t>
      </w:r>
      <w:proofErr w:type="spellStart"/>
      <w:r>
        <w:t>Klippon</w:t>
      </w:r>
      <w:proofErr w:type="spellEnd"/>
      <w:r>
        <w:rPr>
          <w:vertAlign w:val="superscript"/>
        </w:rPr>
        <w:t>®</w:t>
      </w:r>
      <w:r>
        <w:t xml:space="preserve"> Connect terminal blocks with the lateral PUSH IN connection offer a compact and reliable solution for wiring industrial equipment and machine controls.</w:t>
      </w:r>
    </w:p>
    <w:p w14:paraId="305222E7" w14:textId="04FA360D" w:rsidR="0D2465AE" w:rsidRPr="00341301" w:rsidRDefault="0D2465AE" w:rsidP="0D2465AE">
      <w:pPr>
        <w:spacing w:line="360" w:lineRule="auto"/>
        <w:ind w:right="-851"/>
        <w:jc w:val="both"/>
        <w:rPr>
          <w:rFonts w:eastAsia="Arial" w:cs="Arial"/>
          <w:color w:val="000000" w:themeColor="text1"/>
          <w:sz w:val="24"/>
          <w:szCs w:val="24"/>
          <w:lang w:val="en-US"/>
        </w:rPr>
      </w:pPr>
    </w:p>
    <w:p w14:paraId="6B9E10C2" w14:textId="4F07101B" w:rsidR="0D2465AE" w:rsidRPr="00F55FB8" w:rsidRDefault="00F55FB8" w:rsidP="0D2465AE">
      <w:pPr>
        <w:spacing w:line="360" w:lineRule="auto"/>
        <w:ind w:right="-851"/>
        <w:jc w:val="both"/>
        <w:rPr>
          <w:rFonts w:eastAsia="Arial" w:cs="Arial"/>
          <w:color w:val="000000" w:themeColor="text1"/>
          <w:sz w:val="18"/>
          <w:szCs w:val="18"/>
        </w:rPr>
      </w:pPr>
      <w:r>
        <w:rPr>
          <w:color w:val="000000" w:themeColor="text1"/>
          <w:sz w:val="18"/>
        </w:rPr>
        <w:t>2,</w:t>
      </w:r>
      <w:r w:rsidR="00341301">
        <w:rPr>
          <w:color w:val="000000" w:themeColor="text1"/>
          <w:sz w:val="18"/>
        </w:rPr>
        <w:t>464</w:t>
      </w:r>
      <w:r>
        <w:rPr>
          <w:color w:val="000000" w:themeColor="text1"/>
          <w:sz w:val="18"/>
        </w:rPr>
        <w:t xml:space="preserve"> </w:t>
      </w:r>
      <w:r>
        <w:rPr>
          <w:sz w:val="18"/>
        </w:rPr>
        <w:t xml:space="preserve">characters including spaces </w:t>
      </w:r>
    </w:p>
    <w:p w14:paraId="3F179195" w14:textId="08A20458" w:rsidR="00867D01" w:rsidRPr="00867D01" w:rsidRDefault="00867D01" w:rsidP="0D2465AE">
      <w:pPr>
        <w:spacing w:line="360" w:lineRule="auto"/>
        <w:ind w:right="-851"/>
        <w:jc w:val="both"/>
        <w:rPr>
          <w:rFonts w:eastAsia="Arial" w:cs="Arial"/>
          <w:color w:val="000000" w:themeColor="text1"/>
          <w:sz w:val="24"/>
          <w:szCs w:val="24"/>
        </w:rPr>
      </w:pPr>
      <w:r>
        <w:rPr>
          <w:noProof/>
        </w:rPr>
        <w:drawing>
          <wp:inline distT="0" distB="0" distL="0" distR="0" wp14:anchorId="522BA4E6" wp14:editId="2D6414DE">
            <wp:extent cx="1889090" cy="18890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0818" cy="1890818"/>
                    </a:xfrm>
                    <a:prstGeom prst="rect">
                      <a:avLst/>
                    </a:prstGeom>
                    <a:noFill/>
                    <a:ln>
                      <a:noFill/>
                    </a:ln>
                  </pic:spPr>
                </pic:pic>
              </a:graphicData>
            </a:graphic>
          </wp:inline>
        </w:drawing>
      </w:r>
    </w:p>
    <w:p w14:paraId="3A2385E8" w14:textId="7EDD0489" w:rsidR="0D2465AE" w:rsidRPr="00867D01" w:rsidRDefault="0D2465AE" w:rsidP="0D2465AE">
      <w:pPr>
        <w:spacing w:line="360" w:lineRule="auto"/>
        <w:ind w:right="-851"/>
        <w:jc w:val="both"/>
        <w:rPr>
          <w:rFonts w:eastAsia="Arial" w:cs="Arial"/>
          <w:color w:val="000000" w:themeColor="text1"/>
          <w:sz w:val="18"/>
          <w:szCs w:val="18"/>
        </w:rPr>
      </w:pPr>
      <w:r>
        <w:rPr>
          <w:color w:val="000000" w:themeColor="text1"/>
          <w:sz w:val="18"/>
        </w:rPr>
        <w:t xml:space="preserve">Image caption: </w:t>
      </w:r>
      <w:r>
        <w:rPr>
          <w:sz w:val="18"/>
        </w:rPr>
        <w:t xml:space="preserve">The new </w:t>
      </w:r>
      <w:proofErr w:type="spellStart"/>
      <w:r>
        <w:rPr>
          <w:sz w:val="18"/>
        </w:rPr>
        <w:t>Klippon</w:t>
      </w:r>
      <w:proofErr w:type="spellEnd"/>
      <w:r>
        <w:rPr>
          <w:sz w:val="18"/>
          <w:vertAlign w:val="superscript"/>
        </w:rPr>
        <w:t>®</w:t>
      </w:r>
      <w:r>
        <w:rPr>
          <w:sz w:val="18"/>
        </w:rPr>
        <w:t xml:space="preserve"> Connect terminal blocks with the lateral PUSH IN connection offer an innovative solution for efficient and safe wiring</w:t>
      </w:r>
    </w:p>
    <w:p w14:paraId="1011D1CF" w14:textId="51F985A8" w:rsidR="0D2465AE" w:rsidRPr="00341301" w:rsidRDefault="0D2465AE" w:rsidP="0D2465AE">
      <w:pPr>
        <w:spacing w:line="360" w:lineRule="auto"/>
        <w:ind w:right="-851"/>
        <w:jc w:val="both"/>
        <w:rPr>
          <w:rFonts w:eastAsia="Arial" w:cs="Arial"/>
          <w:color w:val="000000" w:themeColor="text1"/>
          <w:sz w:val="24"/>
          <w:szCs w:val="24"/>
          <w:lang w:val="en-US"/>
        </w:rPr>
      </w:pPr>
    </w:p>
    <w:p w14:paraId="315A8FF7" w14:textId="08D87D4E" w:rsidR="0D2465AE" w:rsidRPr="00F55FB8" w:rsidRDefault="0D2465AE" w:rsidP="0D2465AE">
      <w:pPr>
        <w:tabs>
          <w:tab w:val="left" w:pos="1701"/>
        </w:tabs>
        <w:spacing w:line="360" w:lineRule="auto"/>
        <w:jc w:val="both"/>
      </w:pPr>
      <w:r>
        <w:rPr>
          <w:b/>
          <w:sz w:val="18"/>
        </w:rPr>
        <w:t>Your contact person:</w:t>
      </w:r>
      <w:r>
        <w:rPr>
          <w:sz w:val="18"/>
        </w:rPr>
        <w:t xml:space="preserve"> </w:t>
      </w:r>
      <w:r>
        <w:tab/>
      </w:r>
      <w:r>
        <w:tab/>
      </w:r>
      <w:r>
        <w:rPr>
          <w:sz w:val="18"/>
        </w:rPr>
        <w:t xml:space="preserve">Weidmüller Corporate Communications </w:t>
      </w:r>
    </w:p>
    <w:p w14:paraId="2B5038A8" w14:textId="2F72CCBC" w:rsidR="0D2465AE" w:rsidRPr="00F55FB8" w:rsidRDefault="0D2465AE" w:rsidP="0D2465AE">
      <w:pPr>
        <w:tabs>
          <w:tab w:val="left" w:pos="1134"/>
          <w:tab w:val="left" w:pos="1701"/>
        </w:tabs>
        <w:spacing w:line="360" w:lineRule="auto"/>
        <w:jc w:val="both"/>
      </w:pPr>
      <w:r>
        <w:rPr>
          <w:sz w:val="18"/>
        </w:rPr>
        <w:t xml:space="preserve">   </w:t>
      </w:r>
      <w:r>
        <w:tab/>
      </w:r>
      <w:r>
        <w:tab/>
      </w:r>
      <w:r>
        <w:tab/>
      </w:r>
      <w:r>
        <w:tab/>
      </w:r>
      <w:r>
        <w:rPr>
          <w:sz w:val="18"/>
        </w:rPr>
        <w:t>Tel.: +49 (0) 5231 / 14-292322</w:t>
      </w:r>
    </w:p>
    <w:p w14:paraId="45DBE6A9" w14:textId="3D2B02F7" w:rsidR="0D2465AE" w:rsidRPr="0021587A" w:rsidRDefault="0D2465AE" w:rsidP="0D2465AE">
      <w:pPr>
        <w:tabs>
          <w:tab w:val="left" w:pos="1134"/>
          <w:tab w:val="left" w:pos="1701"/>
        </w:tabs>
        <w:spacing w:line="360" w:lineRule="auto"/>
        <w:ind w:firstLine="1701"/>
        <w:jc w:val="both"/>
        <w:rPr>
          <w:color w:val="000000" w:themeColor="text1"/>
        </w:rPr>
      </w:pPr>
      <w:r>
        <w:rPr>
          <w:sz w:val="18"/>
        </w:rPr>
        <w:t xml:space="preserve">    </w:t>
      </w:r>
      <w:r>
        <w:tab/>
      </w:r>
      <w:r>
        <w:tab/>
      </w:r>
      <w:r>
        <w:rPr>
          <w:sz w:val="18"/>
        </w:rPr>
        <w:t>Email</w:t>
      </w:r>
      <w:r>
        <w:rPr>
          <w:color w:val="000000" w:themeColor="text1"/>
          <w:sz w:val="18"/>
        </w:rPr>
        <w:t>: presse@weidmueller.com</w:t>
      </w:r>
    </w:p>
    <w:p w14:paraId="59262E81" w14:textId="464C9034" w:rsidR="0D2465AE" w:rsidRPr="00F55FB8" w:rsidRDefault="0D2465AE" w:rsidP="0D2465AE">
      <w:pPr>
        <w:spacing w:line="360" w:lineRule="auto"/>
        <w:jc w:val="both"/>
      </w:pPr>
      <w:r>
        <w:t xml:space="preserve"> </w:t>
      </w:r>
    </w:p>
    <w:p w14:paraId="09A5FCA8" w14:textId="326EF11E" w:rsidR="0D2465AE" w:rsidRDefault="0D2465AE" w:rsidP="0D2465AE">
      <w:pPr>
        <w:spacing w:line="360" w:lineRule="auto"/>
        <w:jc w:val="both"/>
        <w:rPr>
          <w:rFonts w:eastAsia="Arial" w:cs="Arial"/>
          <w:b/>
          <w:bCs/>
          <w:sz w:val="18"/>
          <w:szCs w:val="18"/>
        </w:rPr>
      </w:pPr>
      <w:r>
        <w:rPr>
          <w:b/>
          <w:sz w:val="18"/>
        </w:rPr>
        <w:t>Weidmüller – Your Partner in Smart Industrial Connectivity</w:t>
      </w:r>
    </w:p>
    <w:p w14:paraId="4CE6198C" w14:textId="460CB87F" w:rsidR="00F55FB8" w:rsidRDefault="00F55FB8" w:rsidP="0D2465AE">
      <w:pPr>
        <w:spacing w:line="360" w:lineRule="auto"/>
        <w:jc w:val="both"/>
        <w:rPr>
          <w:sz w:val="18"/>
          <w:szCs w:val="18"/>
        </w:rPr>
      </w:pPr>
      <w:r>
        <w:rPr>
          <w:sz w:val="18"/>
        </w:rPr>
        <w:t xml:space="preserve">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 </w:t>
      </w:r>
    </w:p>
    <w:p w14:paraId="710EB960" w14:textId="77777777" w:rsidR="00867D01" w:rsidRPr="00341301" w:rsidRDefault="00867D01" w:rsidP="0D2465AE">
      <w:pPr>
        <w:spacing w:line="360" w:lineRule="auto"/>
        <w:jc w:val="both"/>
        <w:rPr>
          <w:sz w:val="18"/>
          <w:szCs w:val="18"/>
          <w:lang w:val="en-US"/>
        </w:rPr>
      </w:pPr>
    </w:p>
    <w:p w14:paraId="28CE0B79" w14:textId="0011FB66" w:rsidR="0D2465AE" w:rsidRPr="00F55FB8" w:rsidRDefault="0D2465AE" w:rsidP="0D2465AE">
      <w:pPr>
        <w:spacing w:line="360" w:lineRule="auto"/>
        <w:jc w:val="both"/>
      </w:pPr>
      <w:r>
        <w:rPr>
          <w:sz w:val="16"/>
        </w:rPr>
        <w:t xml:space="preserve"> </w:t>
      </w:r>
    </w:p>
    <w:p w14:paraId="5AC7D68C" w14:textId="21D1FFE9" w:rsidR="0D2465AE" w:rsidRPr="00F55FB8" w:rsidRDefault="0D2465AE" w:rsidP="0D2465AE">
      <w:pPr>
        <w:tabs>
          <w:tab w:val="left" w:pos="1134"/>
          <w:tab w:val="left" w:pos="1701"/>
        </w:tabs>
        <w:spacing w:line="360" w:lineRule="auto"/>
        <w:jc w:val="both"/>
      </w:pPr>
      <w:r>
        <w:rPr>
          <w:b/>
          <w:sz w:val="18"/>
        </w:rPr>
        <w:t>Responsible for content:</w:t>
      </w:r>
      <w:r>
        <w:rPr>
          <w:sz w:val="18"/>
        </w:rPr>
        <w:t xml:space="preserve"> </w:t>
      </w:r>
      <w:r>
        <w:tab/>
      </w:r>
      <w:r>
        <w:rPr>
          <w:sz w:val="18"/>
        </w:rPr>
        <w:t>Weidmüller Corporate Communications</w:t>
      </w:r>
    </w:p>
    <w:p w14:paraId="4358EEC9" w14:textId="36C4C903" w:rsidR="0D2465AE" w:rsidRDefault="0D2465AE" w:rsidP="00A6654A">
      <w:pPr>
        <w:ind w:firstLine="708"/>
        <w:jc w:val="both"/>
        <w:rPr>
          <w:rFonts w:eastAsia="Arial" w:cs="Arial"/>
          <w:color w:val="000000" w:themeColor="text1"/>
          <w:sz w:val="18"/>
          <w:szCs w:val="18"/>
        </w:rPr>
      </w:pPr>
      <w:r>
        <w:rPr>
          <w:sz w:val="18"/>
        </w:rPr>
        <w:t xml:space="preserve">                                          Corporate Spokesperson, Sybille Hilker</w:t>
      </w:r>
    </w:p>
    <w:sectPr w:rsidR="0D2465AE" w:rsidSect="002D1AF5">
      <w:headerReference w:type="default" r:id="rId12"/>
      <w:footerReference w:type="default" r:id="rId13"/>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3D32" w14:textId="77777777" w:rsidR="00282131" w:rsidRDefault="00282131">
      <w:r>
        <w:separator/>
      </w:r>
    </w:p>
  </w:endnote>
  <w:endnote w:type="continuationSeparator" w:id="0">
    <w:p w14:paraId="14571435" w14:textId="77777777" w:rsidR="00282131" w:rsidRDefault="00282131">
      <w:r>
        <w:continuationSeparator/>
      </w:r>
    </w:p>
  </w:endnote>
  <w:endnote w:type="continuationNotice" w:id="1">
    <w:p w14:paraId="2F70E7A0" w14:textId="77777777" w:rsidR="00282131" w:rsidRDefault="0028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446B" w14:textId="77777777" w:rsidR="00282131" w:rsidRDefault="00282131">
      <w:r>
        <w:separator/>
      </w:r>
    </w:p>
  </w:footnote>
  <w:footnote w:type="continuationSeparator" w:id="0">
    <w:p w14:paraId="1BF3578C" w14:textId="77777777" w:rsidR="00282131" w:rsidRDefault="00282131">
      <w:r>
        <w:continuationSeparator/>
      </w:r>
    </w:p>
  </w:footnote>
  <w:footnote w:type="continuationNotice" w:id="1">
    <w:p w14:paraId="789C781A" w14:textId="77777777" w:rsidR="00282131" w:rsidRDefault="0028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E7839"/>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21AA"/>
    <w:rsid w:val="00183774"/>
    <w:rsid w:val="00184B1F"/>
    <w:rsid w:val="0018718A"/>
    <w:rsid w:val="00190C40"/>
    <w:rsid w:val="00191EDA"/>
    <w:rsid w:val="0019319D"/>
    <w:rsid w:val="00195798"/>
    <w:rsid w:val="00197E3A"/>
    <w:rsid w:val="001A1A69"/>
    <w:rsid w:val="001A258A"/>
    <w:rsid w:val="001A743C"/>
    <w:rsid w:val="001B357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587A"/>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5609"/>
    <w:rsid w:val="00275EB6"/>
    <w:rsid w:val="002766F3"/>
    <w:rsid w:val="00276D38"/>
    <w:rsid w:val="00276ED3"/>
    <w:rsid w:val="00277F47"/>
    <w:rsid w:val="00281F5C"/>
    <w:rsid w:val="00282131"/>
    <w:rsid w:val="0028742B"/>
    <w:rsid w:val="0029023D"/>
    <w:rsid w:val="00290480"/>
    <w:rsid w:val="00293F75"/>
    <w:rsid w:val="00295C07"/>
    <w:rsid w:val="00296D1B"/>
    <w:rsid w:val="00296D66"/>
    <w:rsid w:val="002A1149"/>
    <w:rsid w:val="002A268F"/>
    <w:rsid w:val="002A2862"/>
    <w:rsid w:val="002A434B"/>
    <w:rsid w:val="002A6251"/>
    <w:rsid w:val="002A6B83"/>
    <w:rsid w:val="002A7950"/>
    <w:rsid w:val="002B076F"/>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301"/>
    <w:rsid w:val="0034188A"/>
    <w:rsid w:val="003418D4"/>
    <w:rsid w:val="0034253D"/>
    <w:rsid w:val="003432FE"/>
    <w:rsid w:val="00343938"/>
    <w:rsid w:val="00344449"/>
    <w:rsid w:val="0034450C"/>
    <w:rsid w:val="00344F31"/>
    <w:rsid w:val="00347DA2"/>
    <w:rsid w:val="00351F0E"/>
    <w:rsid w:val="00354E39"/>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351D"/>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1051"/>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28F8"/>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67D2"/>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384E"/>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1096"/>
    <w:rsid w:val="007E2FD8"/>
    <w:rsid w:val="007F225B"/>
    <w:rsid w:val="007F2C5F"/>
    <w:rsid w:val="007F3550"/>
    <w:rsid w:val="007F59FD"/>
    <w:rsid w:val="007F625E"/>
    <w:rsid w:val="007F7D8F"/>
    <w:rsid w:val="008043A0"/>
    <w:rsid w:val="00805034"/>
    <w:rsid w:val="008054A4"/>
    <w:rsid w:val="00816232"/>
    <w:rsid w:val="00817DA3"/>
    <w:rsid w:val="00820F9B"/>
    <w:rsid w:val="00821ECD"/>
    <w:rsid w:val="00823594"/>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67D01"/>
    <w:rsid w:val="00870DD9"/>
    <w:rsid w:val="00872662"/>
    <w:rsid w:val="00872A8D"/>
    <w:rsid w:val="00872D79"/>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0C4E"/>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D76AF"/>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6654A"/>
    <w:rsid w:val="00A706C9"/>
    <w:rsid w:val="00A7074A"/>
    <w:rsid w:val="00A75AA2"/>
    <w:rsid w:val="00A76EBC"/>
    <w:rsid w:val="00A802AD"/>
    <w:rsid w:val="00A81020"/>
    <w:rsid w:val="00A816DE"/>
    <w:rsid w:val="00A81C5D"/>
    <w:rsid w:val="00A81EA3"/>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BD9"/>
    <w:rsid w:val="00B67D46"/>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581D"/>
    <w:rsid w:val="00C26C64"/>
    <w:rsid w:val="00C27F50"/>
    <w:rsid w:val="00C31017"/>
    <w:rsid w:val="00C325ED"/>
    <w:rsid w:val="00C3318F"/>
    <w:rsid w:val="00C33FBA"/>
    <w:rsid w:val="00C36325"/>
    <w:rsid w:val="00C36D11"/>
    <w:rsid w:val="00C36FE7"/>
    <w:rsid w:val="00C42247"/>
    <w:rsid w:val="00C4283A"/>
    <w:rsid w:val="00C434A7"/>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518D"/>
    <w:rsid w:val="00D15F34"/>
    <w:rsid w:val="00D165B4"/>
    <w:rsid w:val="00D17097"/>
    <w:rsid w:val="00D24300"/>
    <w:rsid w:val="00D24690"/>
    <w:rsid w:val="00D273B3"/>
    <w:rsid w:val="00D3029E"/>
    <w:rsid w:val="00D311BE"/>
    <w:rsid w:val="00D3202B"/>
    <w:rsid w:val="00D3476C"/>
    <w:rsid w:val="00D40EB7"/>
    <w:rsid w:val="00D44794"/>
    <w:rsid w:val="00D51862"/>
    <w:rsid w:val="00D52BA0"/>
    <w:rsid w:val="00D53D82"/>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131E"/>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0B"/>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5975"/>
    <w:rsid w:val="00E867BE"/>
    <w:rsid w:val="00E87344"/>
    <w:rsid w:val="00E87F4D"/>
    <w:rsid w:val="00E938F3"/>
    <w:rsid w:val="00E9465B"/>
    <w:rsid w:val="00E95F79"/>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5A8B"/>
    <w:rsid w:val="00F274CB"/>
    <w:rsid w:val="00F32FF0"/>
    <w:rsid w:val="00F33CD5"/>
    <w:rsid w:val="00F34F78"/>
    <w:rsid w:val="00F35089"/>
    <w:rsid w:val="00F370EE"/>
    <w:rsid w:val="00F42D80"/>
    <w:rsid w:val="00F43D19"/>
    <w:rsid w:val="00F448E3"/>
    <w:rsid w:val="00F454C1"/>
    <w:rsid w:val="00F55062"/>
    <w:rsid w:val="00F55FB8"/>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64BA"/>
    <w:rsid w:val="00FA2AAE"/>
    <w:rsid w:val="00FA3C6D"/>
    <w:rsid w:val="00FA522E"/>
    <w:rsid w:val="00FB7BB3"/>
    <w:rsid w:val="00FC0E79"/>
    <w:rsid w:val="00FC14BB"/>
    <w:rsid w:val="00FC5E57"/>
    <w:rsid w:val="00FD08F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21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Campos Chavero, Chantal</cp:lastModifiedBy>
  <cp:revision>2</cp:revision>
  <cp:lastPrinted>2018-03-05T14:44:00Z</cp:lastPrinted>
  <dcterms:created xsi:type="dcterms:W3CDTF">2023-04-06T12:48:00Z</dcterms:created>
  <dcterms:modified xsi:type="dcterms:W3CDTF">2023-04-06T12:48:00Z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