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8D3C" w14:textId="0EED4A87" w:rsidR="004D7B5D" w:rsidRPr="00585AF5" w:rsidRDefault="003D3F85" w:rsidP="00585AF5">
      <w:pPr>
        <w:spacing w:line="360" w:lineRule="auto"/>
        <w:rPr>
          <w:rFonts w:eastAsia="Calibri" w:cs="Arial"/>
          <w:b/>
          <w:bCs/>
          <w:color w:val="000000" w:themeColor="text1"/>
          <w:szCs w:val="22"/>
          <w:lang w:val="de-DE"/>
        </w:rPr>
      </w:pPr>
      <w:r w:rsidRPr="00585AF5">
        <w:rPr>
          <w:rFonts w:eastAsia="Arial" w:cs="Arial"/>
          <w:b/>
          <w:bCs/>
          <w:color w:val="000000" w:themeColor="text1"/>
          <w:szCs w:val="22"/>
          <w:lang w:val="de-DE"/>
        </w:rPr>
        <w:t>Neue Partnerschaft für Cyber-Consulting</w:t>
      </w:r>
    </w:p>
    <w:p w14:paraId="398A92CC" w14:textId="528F15BB" w:rsidR="00521283" w:rsidRPr="00585AF5" w:rsidRDefault="00521283" w:rsidP="00585AF5">
      <w:pPr>
        <w:spacing w:line="360" w:lineRule="auto"/>
        <w:rPr>
          <w:rFonts w:cs="Arial"/>
          <w:szCs w:val="22"/>
          <w:lang w:val="de-DE"/>
        </w:rPr>
      </w:pPr>
    </w:p>
    <w:p w14:paraId="594BD360" w14:textId="77777777" w:rsidR="00F8701B" w:rsidRPr="00585AF5" w:rsidRDefault="00F8701B" w:rsidP="00585AF5">
      <w:pPr>
        <w:spacing w:line="360" w:lineRule="auto"/>
        <w:rPr>
          <w:rFonts w:eastAsia="Arial" w:cs="Arial"/>
          <w:szCs w:val="22"/>
          <w:lang w:val="de-DE"/>
        </w:rPr>
      </w:pPr>
      <w:r w:rsidRPr="00585AF5">
        <w:rPr>
          <w:rFonts w:eastAsia="Arial" w:cs="Arial"/>
          <w:szCs w:val="22"/>
          <w:lang w:val="de-DE"/>
        </w:rPr>
        <w:t>Orange Cyberdefense und Weidmüller arbeiten für Security-Consulting zusammen</w:t>
      </w:r>
    </w:p>
    <w:p w14:paraId="5FFBC89B" w14:textId="77777777" w:rsidR="00F8701B" w:rsidRPr="00585AF5" w:rsidRDefault="00F8701B" w:rsidP="00585AF5">
      <w:pPr>
        <w:spacing w:line="360" w:lineRule="auto"/>
        <w:rPr>
          <w:rFonts w:eastAsia="Arial" w:cs="Arial"/>
          <w:i/>
          <w:iCs/>
          <w:color w:val="000000" w:themeColor="text1"/>
          <w:szCs w:val="22"/>
          <w:lang w:val="de-DE"/>
        </w:rPr>
      </w:pPr>
    </w:p>
    <w:p w14:paraId="44855F3B" w14:textId="77777777" w:rsidR="00855D7D" w:rsidRPr="00585AF5" w:rsidRDefault="00855D7D" w:rsidP="00585AF5">
      <w:pPr>
        <w:spacing w:line="360" w:lineRule="auto"/>
        <w:rPr>
          <w:rFonts w:eastAsia="Arial" w:cs="Arial"/>
          <w:i/>
          <w:iCs/>
          <w:szCs w:val="22"/>
          <w:lang w:val="de-DE"/>
        </w:rPr>
      </w:pPr>
      <w:r w:rsidRPr="00585AF5">
        <w:rPr>
          <w:rFonts w:eastAsia="Arial" w:cs="Arial"/>
          <w:i/>
          <w:iCs/>
          <w:szCs w:val="22"/>
          <w:lang w:val="de-DE"/>
        </w:rPr>
        <w:t>Das französische Unternehmen Orange Cyberdefense und der international agierende Spezialist für Elektronik und Verbindungstechnik Weidmüller mit Sitz in Detmold haben auf der Messe „Smart Production Solutions“ (SPS) 2024 ihre strategische Partnerschaft im Bereich Cybersecurity-Consulting bekannt gegeben. Ziel der Zusammenarbeit ist es, produzierenden Unternehmen einen leichteren Zugang zu umfassenden Beratungsleistungen im Bereich Cybersicherheit zu ermöglichen.</w:t>
      </w:r>
    </w:p>
    <w:p w14:paraId="26EE988A" w14:textId="77777777" w:rsidR="00855D7D" w:rsidRPr="00585AF5" w:rsidRDefault="00855D7D" w:rsidP="00585AF5">
      <w:pPr>
        <w:spacing w:line="360" w:lineRule="auto"/>
        <w:rPr>
          <w:rFonts w:eastAsia="Arial" w:cs="Arial"/>
          <w:i/>
          <w:iCs/>
          <w:color w:val="000000" w:themeColor="text1"/>
          <w:szCs w:val="22"/>
          <w:lang w:val="de-DE"/>
        </w:rPr>
      </w:pPr>
    </w:p>
    <w:p w14:paraId="097D9CF0" w14:textId="01F12D2F" w:rsidR="00676907" w:rsidRPr="00585AF5" w:rsidRDefault="00676907" w:rsidP="6F25190C">
      <w:pPr>
        <w:spacing w:line="360" w:lineRule="auto"/>
        <w:rPr>
          <w:rFonts w:eastAsia="Arial" w:cs="Arial"/>
          <w:lang w:val="de-DE"/>
        </w:rPr>
      </w:pPr>
      <w:r w:rsidRPr="6F25190C">
        <w:rPr>
          <w:rFonts w:eastAsia="Arial" w:cs="Arial"/>
          <w:lang w:val="de-DE"/>
        </w:rPr>
        <w:t xml:space="preserve">Die zunehmende Konvergenz von Informationstechnologie (IT) und Betriebstechnologie (OT) eröffnet der produzierenden Industrie neue Chancen. Durch die Analyse von Maschinendaten lassen sich fortschrittliche Anwendungen wie </w:t>
      </w:r>
      <w:r w:rsidR="6D2B1E3C" w:rsidRPr="6F25190C">
        <w:rPr>
          <w:rFonts w:eastAsia="Arial" w:cs="Arial"/>
          <w:lang w:val="de-DE"/>
        </w:rPr>
        <w:t>m</w:t>
      </w:r>
      <w:r w:rsidRPr="6F25190C">
        <w:rPr>
          <w:rFonts w:eastAsia="Arial" w:cs="Arial"/>
          <w:lang w:val="de-DE"/>
        </w:rPr>
        <w:t>aschinelles Lernen, Condition Monitoring und Predictive Maintenance realisieren. Diese Innovationen ermöglichen es Unternehmen, die Effizienz ihrer Produktionsprozesse zu steigern und gleichzeitig Kosten zu senken.</w:t>
      </w:r>
    </w:p>
    <w:p w14:paraId="32FA6C18" w14:textId="30E56F33" w:rsidR="00676907" w:rsidRPr="00585AF5" w:rsidRDefault="00676907" w:rsidP="00585AF5">
      <w:pPr>
        <w:pStyle w:val="pf0"/>
        <w:spacing w:line="360" w:lineRule="auto"/>
        <w:rPr>
          <w:rFonts w:ascii="Arial" w:hAnsi="Arial" w:cs="Arial"/>
          <w:sz w:val="22"/>
          <w:szCs w:val="22"/>
        </w:rPr>
      </w:pPr>
      <w:r w:rsidRPr="6F25190C">
        <w:rPr>
          <w:rFonts w:ascii="Arial" w:eastAsia="Arial" w:hAnsi="Arial" w:cs="Arial"/>
          <w:sz w:val="22"/>
          <w:szCs w:val="22"/>
        </w:rPr>
        <w:t>Mit der wachsenden Vernetzung in der Produktionsebene entstehen jedoch auch neue Herausforderungen. Die ehemals isolierten OT-Systeme werden zunehmend mit der IT-Infrastruktur verknüpft, was das Thema Cybersicherheit immer stärker in den Vordergrund rückt. Durch diese Entwicklung wächst der Bedarf an Schutzmaßnahmen, um die Sicherheit der Produktionsumgebungen zu gewährleisten. Gesetzliche Vorgaben, wie NIS2 und der CRA verpflichten Unternehmen dazu</w:t>
      </w:r>
      <w:r w:rsidR="42F1D9F3" w:rsidRPr="6F25190C">
        <w:rPr>
          <w:rFonts w:ascii="Arial" w:eastAsia="Arial" w:hAnsi="Arial" w:cs="Arial"/>
          <w:sz w:val="22"/>
          <w:szCs w:val="22"/>
        </w:rPr>
        <w:t>,</w:t>
      </w:r>
      <w:r w:rsidRPr="6F25190C">
        <w:rPr>
          <w:rFonts w:ascii="Arial" w:eastAsia="Arial" w:hAnsi="Arial" w:cs="Arial"/>
          <w:sz w:val="22"/>
          <w:szCs w:val="22"/>
        </w:rPr>
        <w:t xml:space="preserve"> ihre IT- und OT-Netze stärker zu schützen und ihre Produkte gegen Angriffe zu härten.</w:t>
      </w:r>
    </w:p>
    <w:p w14:paraId="4C11A471" w14:textId="77777777" w:rsidR="00676907" w:rsidRPr="00585AF5" w:rsidRDefault="00676907" w:rsidP="00585AF5">
      <w:pPr>
        <w:spacing w:line="360" w:lineRule="auto"/>
        <w:rPr>
          <w:rFonts w:eastAsia="Arial" w:cs="Arial"/>
          <w:szCs w:val="22"/>
          <w:lang w:val="de-DE"/>
        </w:rPr>
      </w:pPr>
      <w:r w:rsidRPr="00585AF5">
        <w:rPr>
          <w:rFonts w:eastAsia="Arial" w:cs="Arial"/>
          <w:szCs w:val="22"/>
          <w:lang w:val="de-DE"/>
        </w:rPr>
        <w:t xml:space="preserve">Unter dem Leitgedanken „Enabler from data to value“ unterstützt Weidmüller seine Kunden dabei, innovative Lösungen zu realisieren. Das Unternehmen bietet ein umfassendes Portfolio an Hardware- und Softwarelösungen für das </w:t>
      </w:r>
      <w:r w:rsidRPr="00585AF5">
        <w:rPr>
          <w:rFonts w:eastAsia="Arial" w:cs="Arial"/>
          <w:szCs w:val="22"/>
          <w:lang w:val="de-DE"/>
        </w:rPr>
        <w:lastRenderedPageBreak/>
        <w:t>Industrial Internet of Things (IIoT) sowie die Automatisierungstechnik. Um seinen Kunden auch im Bereich Cybersicherheit bestmögliche Unterstützung zu bieten, geht Weidmüller eine strategische Partnerschaft mit Orange Cyberdefense ein. Diese Kooperation erweitert das bestehende Portfolio um Security-Consulting für Maschinen und die IT/OT-Unternehmensinfrastruktur.</w:t>
      </w:r>
    </w:p>
    <w:p w14:paraId="5BDE6714" w14:textId="77777777" w:rsidR="00676907" w:rsidRPr="00585AF5" w:rsidRDefault="00676907" w:rsidP="00585AF5">
      <w:pPr>
        <w:spacing w:line="360" w:lineRule="auto"/>
        <w:rPr>
          <w:rFonts w:eastAsia="Arial" w:cs="Arial"/>
          <w:szCs w:val="22"/>
          <w:lang w:val="de-DE"/>
        </w:rPr>
      </w:pPr>
      <w:r w:rsidRPr="00585AF5">
        <w:rPr>
          <w:rFonts w:eastAsia="Arial" w:cs="Arial"/>
          <w:szCs w:val="22"/>
          <w:lang w:val="de-DE"/>
        </w:rPr>
        <w:t>Als Mitglied des Weidmüller-Partnernetzwerks unterstützt Orange Cyberdefense Kunden bei der Implementierung von Sicherheitsmaßnahmen in ihre Maschinen oder Produktionsanlagen und bietet umfassende Beratung zum Security Lifecycle Management. Ergänzend bietet Orange Cyberdefense mit seinen Security Operation Centern (SOC) eine kontinuierliche 24/7-Überwachung der Systeme und Anlagen.</w:t>
      </w:r>
    </w:p>
    <w:p w14:paraId="7E2556E8" w14:textId="77777777" w:rsidR="00676907" w:rsidRPr="00585AF5" w:rsidRDefault="00676907" w:rsidP="00585AF5">
      <w:pPr>
        <w:spacing w:line="360" w:lineRule="auto"/>
        <w:rPr>
          <w:rFonts w:cs="Arial"/>
          <w:b/>
          <w:bCs/>
          <w:color w:val="000000"/>
          <w:szCs w:val="22"/>
          <w:lang w:val="de-DE"/>
        </w:rPr>
      </w:pPr>
    </w:p>
    <w:p w14:paraId="79841104" w14:textId="77777777" w:rsidR="00676907" w:rsidRPr="00585AF5" w:rsidRDefault="00676907" w:rsidP="00585AF5">
      <w:pPr>
        <w:spacing w:line="360" w:lineRule="auto"/>
        <w:rPr>
          <w:rFonts w:cs="Arial"/>
          <w:color w:val="000000"/>
          <w:szCs w:val="22"/>
          <w:lang w:val="de-DE"/>
        </w:rPr>
      </w:pPr>
      <w:r w:rsidRPr="00585AF5">
        <w:rPr>
          <w:rFonts w:cs="Arial"/>
          <w:color w:val="000000"/>
          <w:szCs w:val="22"/>
          <w:lang w:val="de-DE"/>
        </w:rPr>
        <w:t>Orange Cyberdefense ist der Geschäftsbereich für Cybersicherheit der Orange Gruppe, der Beratung, Lösungen und Dienstleistungen für Unternehmen auf der ganzen Welt anbietet. Als Europas führender Sicherheitsanbieter setzt sich Orange Cyberdefense für den Schutz der Freiheit und den Aufbau einer sichereren digitalen Gesellschaft ein.</w:t>
      </w:r>
    </w:p>
    <w:p w14:paraId="5A8DC7B4" w14:textId="77777777" w:rsidR="00676907" w:rsidRPr="00585AF5" w:rsidRDefault="00676907" w:rsidP="00585AF5">
      <w:pPr>
        <w:spacing w:line="360" w:lineRule="auto"/>
        <w:rPr>
          <w:rFonts w:cs="Arial"/>
          <w:color w:val="000000"/>
          <w:szCs w:val="22"/>
          <w:lang w:val="de-DE"/>
        </w:rPr>
      </w:pPr>
      <w:r w:rsidRPr="00585AF5">
        <w:rPr>
          <w:rFonts w:cs="Arial"/>
          <w:color w:val="000000"/>
          <w:szCs w:val="22"/>
          <w:lang w:val="de-DE"/>
        </w:rPr>
        <w:t>Orange Cyberdefense ist auf die Bedrohungsanalyse spezialisiert und bietet einen unvergleichlichen Zugang zu aktuellen und neuen Bedrohungen. Mit mehr als 25 Jahren Erfahrung im Bereich der Informationssicherheit, mehr als 250 Forschern und Analysten und 18 über die ganze Welt verteilten SOCs bietet Orange Cyberdefense globalen Schutz mit lokalem Know-how.</w:t>
      </w:r>
    </w:p>
    <w:p w14:paraId="0C332AF9" w14:textId="77777777" w:rsidR="00676907" w:rsidRPr="00585AF5" w:rsidRDefault="00676907" w:rsidP="00585AF5">
      <w:pPr>
        <w:spacing w:line="360" w:lineRule="auto"/>
        <w:rPr>
          <w:rFonts w:eastAsia="Arial" w:cs="Arial"/>
          <w:szCs w:val="22"/>
          <w:lang w:val="de-DE"/>
        </w:rPr>
      </w:pPr>
      <w:r w:rsidRPr="00585AF5">
        <w:rPr>
          <w:rFonts w:eastAsia="Arial" w:cs="Arial"/>
          <w:szCs w:val="22"/>
          <w:lang w:val="de-DE"/>
        </w:rPr>
        <w:t>Durch die Partnerschaft mit Orange Cyberdefense erweitert Weidmüller sein IIoT-Partnernetzwerk um einen essenziellen Partner im Bereich Cybersicherheit. Gemeinsam streben die Unternehmen an, die produzierende Industrie bei der Absicherung ihrer Produktionsumgebungen zu unterstützen und dabei die Einhaltung gesetzlicher Vorgaben wie der EU-NIS2-Richtlinie, des Cyber Resilience Act (CRA) und der EU-Maschinenverordnung (MVO) zu gewährleisten.</w:t>
      </w:r>
    </w:p>
    <w:p w14:paraId="445EBDCB" w14:textId="77777777" w:rsidR="00676907" w:rsidRDefault="00676907" w:rsidP="002F413D">
      <w:pPr>
        <w:rPr>
          <w:rFonts w:eastAsia="Arial" w:cs="Arial"/>
          <w:i/>
          <w:iCs/>
          <w:color w:val="000000" w:themeColor="text1"/>
          <w:szCs w:val="22"/>
          <w:lang w:val="de-DE"/>
        </w:rPr>
      </w:pPr>
    </w:p>
    <w:p w14:paraId="753C77F9" w14:textId="77777777" w:rsidR="0087504F" w:rsidRDefault="0087504F" w:rsidP="284CE0F4">
      <w:pPr>
        <w:spacing w:line="360" w:lineRule="auto"/>
        <w:ind w:right="-851"/>
        <w:jc w:val="both"/>
        <w:rPr>
          <w:rFonts w:eastAsia="Arial" w:cs="Arial"/>
          <w:color w:val="000000" w:themeColor="text1"/>
          <w:sz w:val="18"/>
          <w:szCs w:val="18"/>
          <w:lang w:val="de-DE"/>
        </w:rPr>
      </w:pPr>
    </w:p>
    <w:p w14:paraId="31A02795" w14:textId="5C5A8DEE" w:rsidR="0D2465AE" w:rsidRDefault="00C225F3"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3</w:t>
      </w:r>
      <w:r w:rsidR="0087504F">
        <w:rPr>
          <w:rFonts w:eastAsia="Arial" w:cs="Arial"/>
          <w:color w:val="000000" w:themeColor="text1"/>
          <w:sz w:val="18"/>
          <w:szCs w:val="18"/>
          <w:lang w:val="de-DE"/>
        </w:rPr>
        <w:t>6</w:t>
      </w:r>
      <w:r w:rsidR="004C3EBC">
        <w:rPr>
          <w:rFonts w:eastAsia="Arial" w:cs="Arial"/>
          <w:color w:val="000000" w:themeColor="text1"/>
          <w:sz w:val="18"/>
          <w:szCs w:val="18"/>
          <w:lang w:val="de-DE"/>
        </w:rPr>
        <w:t>6</w:t>
      </w:r>
      <w:r w:rsidR="007F7DB3">
        <w:rPr>
          <w:rFonts w:eastAsia="Arial" w:cs="Arial"/>
          <w:color w:val="000000" w:themeColor="text1"/>
          <w:sz w:val="18"/>
          <w:szCs w:val="18"/>
          <w:lang w:val="de-DE"/>
        </w:rPr>
        <w:t>5</w:t>
      </w:r>
      <w:r w:rsidR="0D2465AE" w:rsidRPr="00637608">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6BDED2C8" w14:textId="77777777" w:rsidR="00F81494" w:rsidRDefault="00F81494" w:rsidP="284CE0F4">
      <w:pPr>
        <w:spacing w:line="360" w:lineRule="auto"/>
        <w:ind w:right="-851"/>
        <w:jc w:val="both"/>
        <w:rPr>
          <w:rFonts w:eastAsia="Arial" w:cs="Arial"/>
          <w:sz w:val="18"/>
          <w:szCs w:val="18"/>
          <w:lang w:val="de-DE"/>
        </w:rPr>
      </w:pPr>
    </w:p>
    <w:p w14:paraId="2AA6334F" w14:textId="6F25C7C0" w:rsidR="00F81494" w:rsidRDefault="00F81494" w:rsidP="00BF1EEB">
      <w:pPr>
        <w:spacing w:line="360" w:lineRule="auto"/>
        <w:ind w:right="-851"/>
        <w:rPr>
          <w:rFonts w:eastAsia="Arial" w:cs="Arial"/>
          <w:sz w:val="18"/>
          <w:szCs w:val="18"/>
          <w:lang w:val="de-DE"/>
        </w:rPr>
      </w:pPr>
      <w:r>
        <w:rPr>
          <w:rFonts w:eastAsia="Arial" w:cs="Arial"/>
          <w:sz w:val="18"/>
          <w:szCs w:val="18"/>
          <w:lang w:val="de-DE"/>
        </w:rPr>
        <w:t>Alle Bilder stehen Ihnen zur freien Verfügung.</w:t>
      </w:r>
    </w:p>
    <w:p w14:paraId="40BCFBE3" w14:textId="77777777" w:rsidR="00F81494" w:rsidRDefault="00F81494" w:rsidP="00F81494">
      <w:pPr>
        <w:spacing w:line="360" w:lineRule="auto"/>
        <w:ind w:right="-851"/>
        <w:rPr>
          <w:rFonts w:eastAsia="Arial" w:cs="Arial"/>
          <w:sz w:val="18"/>
          <w:szCs w:val="18"/>
          <w:lang w:val="de-DE"/>
        </w:rPr>
      </w:pPr>
    </w:p>
    <w:p w14:paraId="45BD15F7" w14:textId="77777777" w:rsidR="006B20EC" w:rsidRDefault="00F81494" w:rsidP="00585AF5">
      <w:pPr>
        <w:spacing w:line="360" w:lineRule="auto"/>
        <w:ind w:right="-851"/>
        <w:rPr>
          <w:rFonts w:eastAsia="Arial" w:cs="Arial"/>
          <w:sz w:val="18"/>
          <w:szCs w:val="18"/>
          <w:lang w:val="de-DE"/>
        </w:rPr>
      </w:pPr>
      <w:r>
        <w:rPr>
          <w:rFonts w:eastAsia="Arial" w:cs="Arial"/>
          <w:sz w:val="18"/>
          <w:szCs w:val="18"/>
          <w:lang w:val="de-DE"/>
        </w:rPr>
        <w:t>Bildquelle: Weidmüller</w:t>
      </w:r>
      <w:r>
        <w:rPr>
          <w:rFonts w:eastAsia="Arial" w:cs="Arial"/>
          <w:color w:val="000000" w:themeColor="text1"/>
          <w:sz w:val="20"/>
          <w:lang w:val="de-DE"/>
        </w:rPr>
        <w:br/>
      </w:r>
    </w:p>
    <w:p w14:paraId="7B10E54F" w14:textId="405CDDFD" w:rsidR="006B20EC" w:rsidRDefault="006B20EC" w:rsidP="00585AF5">
      <w:pPr>
        <w:spacing w:line="360" w:lineRule="auto"/>
        <w:ind w:right="-851"/>
        <w:rPr>
          <w:rFonts w:eastAsia="Arial" w:cs="Arial"/>
          <w:color w:val="000000" w:themeColor="text1"/>
          <w:sz w:val="20"/>
          <w:lang w:val="de-DE"/>
        </w:rPr>
      </w:pPr>
      <w:r>
        <w:rPr>
          <w:rFonts w:eastAsia="Arial" w:cs="Arial"/>
          <w:b/>
          <w:bCs/>
          <w:noProof/>
          <w:color w:val="000000" w:themeColor="text1"/>
          <w:szCs w:val="22"/>
          <w:lang w:val="de-DE"/>
        </w:rPr>
        <w:drawing>
          <wp:inline distT="0" distB="0" distL="0" distR="0" wp14:anchorId="14A79930" wp14:editId="02008385">
            <wp:extent cx="4848225" cy="3238500"/>
            <wp:effectExtent l="0" t="0" r="9525" b="0"/>
            <wp:docPr id="14242337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3238500"/>
                    </a:xfrm>
                    <a:prstGeom prst="rect">
                      <a:avLst/>
                    </a:prstGeom>
                    <a:noFill/>
                    <a:ln>
                      <a:noFill/>
                    </a:ln>
                  </pic:spPr>
                </pic:pic>
              </a:graphicData>
            </a:graphic>
          </wp:inline>
        </w:drawing>
      </w:r>
    </w:p>
    <w:p w14:paraId="60C9D28C" w14:textId="4C84A51A" w:rsidR="00F81494" w:rsidRPr="007E0B87" w:rsidRDefault="00F81494" w:rsidP="0003111B">
      <w:pPr>
        <w:rPr>
          <w:rFonts w:ascii="Calibri" w:hAnsi="Calibri"/>
        </w:rPr>
      </w:pPr>
      <w:r w:rsidRPr="007E0B87">
        <w:rPr>
          <w:rFonts w:eastAsia="Arial" w:cs="Arial"/>
          <w:color w:val="000000" w:themeColor="text1"/>
          <w:sz w:val="20"/>
        </w:rPr>
        <w:t>Bildunterschrift:</w:t>
      </w:r>
      <w:r w:rsidR="001864FE" w:rsidRPr="007E0B87">
        <w:rPr>
          <w:rFonts w:eastAsia="Arial" w:cs="Arial"/>
          <w:color w:val="000000" w:themeColor="text1"/>
          <w:sz w:val="20"/>
        </w:rPr>
        <w:t xml:space="preserve"> </w:t>
      </w:r>
      <w:r w:rsidR="001534D6" w:rsidRPr="007E0B87">
        <w:rPr>
          <w:rFonts w:eastAsia="Arial" w:cs="Arial"/>
          <w:color w:val="000000" w:themeColor="text1"/>
          <w:sz w:val="20"/>
        </w:rPr>
        <w:t>v.l.n.r: Sebastian Stelzer</w:t>
      </w:r>
      <w:r w:rsidR="00D92839" w:rsidRPr="007E0B87">
        <w:rPr>
          <w:rFonts w:eastAsia="Arial" w:cs="Arial"/>
          <w:color w:val="000000" w:themeColor="text1"/>
          <w:sz w:val="20"/>
        </w:rPr>
        <w:t>,</w:t>
      </w:r>
      <w:r w:rsidR="004055CB" w:rsidRPr="007E0B87">
        <w:rPr>
          <w:rFonts w:eastAsia="Arial" w:cs="Arial"/>
          <w:color w:val="000000" w:themeColor="text1"/>
          <w:sz w:val="20"/>
        </w:rPr>
        <w:t xml:space="preserve"> </w:t>
      </w:r>
      <w:r w:rsidR="003419CF" w:rsidRPr="007E0B87">
        <w:rPr>
          <w:rFonts w:eastAsia="Arial" w:cs="Arial"/>
          <w:color w:val="000000" w:themeColor="text1"/>
          <w:sz w:val="20"/>
        </w:rPr>
        <w:t>Group Lead Product Management Industrial Ethernet</w:t>
      </w:r>
      <w:r w:rsidR="00205081">
        <w:rPr>
          <w:rFonts w:eastAsia="Arial" w:cs="Arial"/>
          <w:color w:val="000000" w:themeColor="text1"/>
          <w:sz w:val="20"/>
        </w:rPr>
        <w:t xml:space="preserve"> (Weidmüller)</w:t>
      </w:r>
      <w:r w:rsidR="008015EF" w:rsidRPr="007E0B87">
        <w:rPr>
          <w:rFonts w:cs="Arial"/>
          <w:sz w:val="18"/>
          <w:szCs w:val="18"/>
          <w:lang w:eastAsia="de-DE"/>
        </w:rPr>
        <w:t>;</w:t>
      </w:r>
      <w:r w:rsidR="0003111B" w:rsidRPr="007E0B87">
        <w:rPr>
          <w:rFonts w:cs="Arial"/>
          <w:sz w:val="18"/>
          <w:szCs w:val="18"/>
          <w:lang w:eastAsia="de-DE"/>
        </w:rPr>
        <w:t xml:space="preserve"> </w:t>
      </w:r>
      <w:r w:rsidR="00D92839" w:rsidRPr="007E0B87">
        <w:rPr>
          <w:rFonts w:eastAsia="Arial" w:cs="Arial"/>
          <w:color w:val="000000" w:themeColor="text1"/>
          <w:sz w:val="20"/>
        </w:rPr>
        <w:t>Jeroen W</w:t>
      </w:r>
      <w:r w:rsidR="00892606" w:rsidRPr="007E0B87">
        <w:rPr>
          <w:rFonts w:eastAsia="Arial" w:cs="Arial"/>
          <w:color w:val="000000" w:themeColor="text1"/>
          <w:sz w:val="20"/>
        </w:rPr>
        <w:t>ijnands,</w:t>
      </w:r>
      <w:r w:rsidR="0003111B" w:rsidRPr="007E0B87">
        <w:rPr>
          <w:rFonts w:eastAsia="Arial" w:cs="Arial"/>
          <w:color w:val="000000" w:themeColor="text1"/>
          <w:sz w:val="20"/>
        </w:rPr>
        <w:t xml:space="preserve"> Manager OT Security</w:t>
      </w:r>
      <w:r w:rsidR="007B7077" w:rsidRPr="007E0B87">
        <w:rPr>
          <w:rFonts w:eastAsia="Arial" w:cs="Arial"/>
          <w:color w:val="000000" w:themeColor="text1"/>
          <w:sz w:val="20"/>
        </w:rPr>
        <w:t xml:space="preserve"> </w:t>
      </w:r>
      <w:r w:rsidR="007E0B87">
        <w:rPr>
          <w:rFonts w:eastAsia="Arial" w:cs="Arial"/>
          <w:color w:val="000000" w:themeColor="text1"/>
          <w:sz w:val="20"/>
        </w:rPr>
        <w:t>Netherlands</w:t>
      </w:r>
      <w:r w:rsidR="00412E23">
        <w:rPr>
          <w:rFonts w:eastAsia="Arial" w:cs="Arial"/>
          <w:color w:val="000000" w:themeColor="text1"/>
          <w:sz w:val="20"/>
        </w:rPr>
        <w:t xml:space="preserve"> (Orange Cyberdefense)</w:t>
      </w:r>
      <w:r w:rsidR="007B7077" w:rsidRPr="007E0B87">
        <w:rPr>
          <w:rFonts w:eastAsia="Arial" w:cs="Arial"/>
          <w:color w:val="000000" w:themeColor="text1"/>
          <w:sz w:val="20"/>
        </w:rPr>
        <w:t>;</w:t>
      </w:r>
      <w:r w:rsidR="00892606" w:rsidRPr="007E0B87">
        <w:rPr>
          <w:rFonts w:eastAsia="Arial" w:cs="Arial"/>
          <w:color w:val="000000" w:themeColor="text1"/>
          <w:sz w:val="20"/>
        </w:rPr>
        <w:t xml:space="preserve"> Leon Theis,</w:t>
      </w:r>
      <w:r w:rsidR="007B7077" w:rsidRPr="007E0B87">
        <w:rPr>
          <w:rFonts w:eastAsia="Arial" w:cs="Arial"/>
          <w:color w:val="000000" w:themeColor="text1"/>
          <w:sz w:val="20"/>
        </w:rPr>
        <w:t xml:space="preserve"> Sales Manager</w:t>
      </w:r>
      <w:r w:rsidR="00412E23">
        <w:rPr>
          <w:rFonts w:eastAsia="Arial" w:cs="Arial"/>
          <w:color w:val="000000" w:themeColor="text1"/>
          <w:sz w:val="20"/>
        </w:rPr>
        <w:t xml:space="preserve"> </w:t>
      </w:r>
      <w:r w:rsidR="00412E23">
        <w:rPr>
          <w:rFonts w:eastAsia="Arial" w:cs="Arial"/>
          <w:color w:val="000000" w:themeColor="text1"/>
          <w:sz w:val="20"/>
        </w:rPr>
        <w:t>(Orange Cyberdefense)</w:t>
      </w:r>
      <w:r w:rsidR="007B7077" w:rsidRPr="007E0B87">
        <w:rPr>
          <w:rFonts w:eastAsia="Arial" w:cs="Arial"/>
          <w:color w:val="000000" w:themeColor="text1"/>
          <w:sz w:val="20"/>
        </w:rPr>
        <w:t>;</w:t>
      </w:r>
      <w:r w:rsidR="00892606" w:rsidRPr="007E0B87">
        <w:rPr>
          <w:rFonts w:eastAsia="Arial" w:cs="Arial"/>
          <w:color w:val="000000" w:themeColor="text1"/>
          <w:sz w:val="20"/>
        </w:rPr>
        <w:t xml:space="preserve"> Ralf Czekalla,</w:t>
      </w:r>
      <w:r w:rsidR="007B7077" w:rsidRPr="007E0B87">
        <w:rPr>
          <w:rFonts w:eastAsia="Arial" w:cs="Arial"/>
          <w:color w:val="000000" w:themeColor="text1"/>
          <w:sz w:val="20"/>
        </w:rPr>
        <w:t xml:space="preserve"> Head of Business Development</w:t>
      </w:r>
      <w:r w:rsidR="00412E23">
        <w:rPr>
          <w:rFonts w:eastAsia="Arial" w:cs="Arial"/>
          <w:color w:val="000000" w:themeColor="text1"/>
          <w:sz w:val="20"/>
        </w:rPr>
        <w:t xml:space="preserve"> </w:t>
      </w:r>
      <w:r w:rsidR="00412E23">
        <w:rPr>
          <w:rFonts w:eastAsia="Arial" w:cs="Arial"/>
          <w:color w:val="000000" w:themeColor="text1"/>
          <w:sz w:val="20"/>
        </w:rPr>
        <w:t>(Orange Cyberdefense)</w:t>
      </w:r>
      <w:r w:rsidR="008177DD" w:rsidRPr="007E0B87">
        <w:rPr>
          <w:rFonts w:eastAsia="Arial" w:cs="Arial"/>
          <w:color w:val="000000" w:themeColor="text1"/>
          <w:sz w:val="20"/>
        </w:rPr>
        <w:t>;</w:t>
      </w:r>
      <w:r w:rsidR="00892606" w:rsidRPr="007E0B87">
        <w:rPr>
          <w:rFonts w:eastAsia="Arial" w:cs="Arial"/>
          <w:color w:val="000000" w:themeColor="text1"/>
          <w:sz w:val="20"/>
        </w:rPr>
        <w:t xml:space="preserve"> Dr. Björn Griese,</w:t>
      </w:r>
      <w:r w:rsidR="001534D6" w:rsidRPr="007E0B87">
        <w:rPr>
          <w:rFonts w:eastAsia="Arial" w:cs="Arial"/>
          <w:color w:val="000000" w:themeColor="text1"/>
          <w:sz w:val="20"/>
        </w:rPr>
        <w:t xml:space="preserve"> </w:t>
      </w:r>
      <w:r w:rsidR="007E0B87">
        <w:rPr>
          <w:rFonts w:eastAsia="Arial" w:cs="Arial"/>
          <w:color w:val="000000" w:themeColor="text1"/>
          <w:sz w:val="20"/>
        </w:rPr>
        <w:t xml:space="preserve">Head of </w:t>
      </w:r>
      <w:r w:rsidR="00654D52" w:rsidRPr="007E0B87">
        <w:rPr>
          <w:rFonts w:eastAsia="Arial" w:cs="Arial"/>
          <w:color w:val="000000" w:themeColor="text1"/>
          <w:sz w:val="20"/>
        </w:rPr>
        <w:t>Product Security</w:t>
      </w:r>
      <w:r w:rsidR="00205081">
        <w:rPr>
          <w:rFonts w:eastAsia="Arial" w:cs="Arial"/>
          <w:color w:val="000000" w:themeColor="text1"/>
          <w:sz w:val="20"/>
        </w:rPr>
        <w:t xml:space="preserve"> </w:t>
      </w:r>
      <w:r w:rsidR="00205081">
        <w:rPr>
          <w:rFonts w:eastAsia="Arial" w:cs="Arial"/>
          <w:color w:val="000000" w:themeColor="text1"/>
          <w:sz w:val="20"/>
        </w:rPr>
        <w:t>(Weidmüller)</w:t>
      </w:r>
      <w:r w:rsidR="00E22F07" w:rsidRPr="007E0B87">
        <w:rPr>
          <w:rFonts w:eastAsia="Arial" w:cs="Arial"/>
          <w:color w:val="000000" w:themeColor="text1"/>
          <w:sz w:val="20"/>
        </w:rPr>
        <w:t>; Marcel Hulsen</w:t>
      </w:r>
      <w:r w:rsidR="004F6455">
        <w:rPr>
          <w:rFonts w:eastAsia="Arial" w:cs="Arial"/>
          <w:color w:val="000000" w:themeColor="text1"/>
          <w:sz w:val="20"/>
        </w:rPr>
        <w:t>,</w:t>
      </w:r>
      <w:r w:rsidR="00E22F07" w:rsidRPr="007E0B87">
        <w:rPr>
          <w:rFonts w:eastAsia="Arial" w:cs="Arial"/>
          <w:color w:val="000000" w:themeColor="text1"/>
          <w:sz w:val="20"/>
        </w:rPr>
        <w:t xml:space="preserve"> Enterprise Security Architect</w:t>
      </w:r>
      <w:r w:rsidR="00412E23">
        <w:rPr>
          <w:rFonts w:eastAsia="Arial" w:cs="Arial"/>
          <w:color w:val="000000" w:themeColor="text1"/>
          <w:sz w:val="20"/>
        </w:rPr>
        <w:t xml:space="preserve"> </w:t>
      </w:r>
      <w:r w:rsidR="00412E23">
        <w:rPr>
          <w:rFonts w:eastAsia="Arial" w:cs="Arial"/>
          <w:color w:val="000000" w:themeColor="text1"/>
          <w:sz w:val="20"/>
        </w:rPr>
        <w:t>(Orange Cyberdefense)</w:t>
      </w:r>
      <w:r w:rsidR="00E22F07" w:rsidRPr="007E0B87">
        <w:rPr>
          <w:rFonts w:eastAsia="Arial" w:cs="Arial"/>
          <w:color w:val="000000" w:themeColor="text1"/>
          <w:sz w:val="20"/>
        </w:rPr>
        <w:t xml:space="preserve">; </w:t>
      </w:r>
      <w:r w:rsidR="001534D6" w:rsidRPr="007E0B87">
        <w:rPr>
          <w:rFonts w:eastAsia="Arial" w:cs="Arial"/>
          <w:color w:val="000000" w:themeColor="text1"/>
          <w:sz w:val="20"/>
        </w:rPr>
        <w:t xml:space="preserve">Dr. Thomas Bürger, Executive Vice President Automation Products and Solutions </w:t>
      </w:r>
      <w:r w:rsidR="00412E23">
        <w:rPr>
          <w:rFonts w:eastAsia="Arial" w:cs="Arial"/>
          <w:color w:val="000000" w:themeColor="text1"/>
          <w:sz w:val="20"/>
        </w:rPr>
        <w:t>(Weidmüller)</w:t>
      </w:r>
      <w:r w:rsidR="00412E23">
        <w:rPr>
          <w:rFonts w:eastAsia="Arial" w:cs="Arial"/>
          <w:color w:val="000000" w:themeColor="text1"/>
          <w:sz w:val="20"/>
        </w:rPr>
        <w:t xml:space="preserve"> </w:t>
      </w:r>
      <w:r w:rsidR="00E955F0" w:rsidRPr="007E0B87">
        <w:rPr>
          <w:rFonts w:eastAsia="Arial" w:cs="Arial"/>
          <w:color w:val="000000" w:themeColor="text1"/>
          <w:sz w:val="20"/>
        </w:rPr>
        <w:t>und</w:t>
      </w:r>
      <w:r w:rsidR="001534D6" w:rsidRPr="007E0B87">
        <w:rPr>
          <w:rFonts w:eastAsia="Arial" w:cs="Arial"/>
          <w:color w:val="000000" w:themeColor="text1"/>
          <w:sz w:val="20"/>
        </w:rPr>
        <w:t xml:space="preserve"> </w:t>
      </w:r>
      <w:r w:rsidR="00892606" w:rsidRPr="007E0B87">
        <w:rPr>
          <w:rFonts w:eastAsia="Arial" w:cs="Arial"/>
          <w:color w:val="000000" w:themeColor="text1"/>
          <w:sz w:val="20"/>
        </w:rPr>
        <w:t>Klaas Wijbenga</w:t>
      </w:r>
      <w:r w:rsidR="00C35F7C" w:rsidRPr="007E0B87">
        <w:rPr>
          <w:rFonts w:eastAsia="Arial" w:cs="Arial"/>
          <w:color w:val="000000" w:themeColor="text1"/>
          <w:sz w:val="20"/>
        </w:rPr>
        <w:t xml:space="preserve">, Automation Sales Engineer </w:t>
      </w:r>
      <w:r w:rsidR="00412E23">
        <w:rPr>
          <w:rFonts w:eastAsia="Arial" w:cs="Arial"/>
          <w:color w:val="000000" w:themeColor="text1"/>
          <w:sz w:val="20"/>
        </w:rPr>
        <w:t>(Weidmüller)</w:t>
      </w:r>
      <w:r w:rsidR="00412E23">
        <w:rPr>
          <w:rFonts w:eastAsia="Arial" w:cs="Arial"/>
          <w:color w:val="000000" w:themeColor="text1"/>
          <w:sz w:val="20"/>
        </w:rPr>
        <w:t xml:space="preserve"> </w:t>
      </w:r>
      <w:r w:rsidR="005368EA" w:rsidRPr="007E0B87">
        <w:rPr>
          <w:rFonts w:eastAsia="Arial" w:cs="Arial"/>
          <w:color w:val="000000" w:themeColor="text1"/>
          <w:sz w:val="20"/>
        </w:rPr>
        <w:t>verkünden die strategische Partners</w:t>
      </w:r>
      <w:r w:rsidR="00654D52" w:rsidRPr="007E0B87">
        <w:rPr>
          <w:rFonts w:eastAsia="Arial" w:cs="Arial"/>
          <w:color w:val="000000" w:themeColor="text1"/>
          <w:sz w:val="20"/>
        </w:rPr>
        <w:t>c</w:t>
      </w:r>
      <w:r w:rsidR="005368EA" w:rsidRPr="007E0B87">
        <w:rPr>
          <w:rFonts w:eastAsia="Arial" w:cs="Arial"/>
          <w:color w:val="000000" w:themeColor="text1"/>
          <w:sz w:val="20"/>
        </w:rPr>
        <w:t>haft auf der SPS</w:t>
      </w:r>
      <w:r w:rsidR="00BB14AB">
        <w:rPr>
          <w:rFonts w:eastAsia="Arial" w:cs="Arial"/>
          <w:color w:val="000000" w:themeColor="text1"/>
          <w:sz w:val="20"/>
        </w:rPr>
        <w:t xml:space="preserve"> in Nürnberg</w:t>
      </w:r>
    </w:p>
    <w:p w14:paraId="26A6E6DE" w14:textId="33562D11" w:rsidR="0D2465AE" w:rsidRPr="007E0B87" w:rsidRDefault="0D2465AE" w:rsidP="284CE0F4">
      <w:pPr>
        <w:spacing w:line="360" w:lineRule="auto"/>
        <w:ind w:right="-851"/>
        <w:jc w:val="both"/>
        <w:rPr>
          <w:rFonts w:eastAsia="Arial" w:cs="Arial"/>
          <w:sz w:val="18"/>
          <w:szCs w:val="18"/>
        </w:rPr>
      </w:pPr>
    </w:p>
    <w:p w14:paraId="7B001666" w14:textId="77777777" w:rsidR="001D0459" w:rsidRPr="007E0B87" w:rsidRDefault="001D0459" w:rsidP="284CE0F4">
      <w:pPr>
        <w:spacing w:line="360" w:lineRule="auto"/>
        <w:ind w:right="-851"/>
        <w:jc w:val="both"/>
        <w:rPr>
          <w:rFonts w:eastAsia="Arial" w:cs="Arial"/>
          <w:sz w:val="18"/>
          <w:szCs w:val="18"/>
        </w:rPr>
      </w:pPr>
    </w:p>
    <w:p w14:paraId="303890A4" w14:textId="77777777" w:rsidR="00715BAB" w:rsidRPr="00905519" w:rsidRDefault="00E83C38" w:rsidP="00715BAB">
      <w:pPr>
        <w:tabs>
          <w:tab w:val="left" w:pos="1701"/>
        </w:tabs>
        <w:spacing w:line="360" w:lineRule="auto"/>
        <w:rPr>
          <w:rFonts w:eastAsia="Arial" w:cs="Arial"/>
          <w:sz w:val="18"/>
          <w:szCs w:val="18"/>
          <w:lang w:val="de-DE"/>
        </w:rPr>
      </w:pPr>
      <w:r w:rsidRPr="00205081">
        <w:rPr>
          <w:rFonts w:eastAsia="Arial" w:cs="Arial"/>
          <w:sz w:val="18"/>
          <w:szCs w:val="18"/>
        </w:rPr>
        <w:br w:type="column"/>
      </w:r>
      <w:r w:rsidR="00715BAB">
        <w:rPr>
          <w:rFonts w:eastAsia="Arial" w:cs="Arial"/>
          <w:b/>
          <w:sz w:val="18"/>
          <w:szCs w:val="18"/>
          <w:lang w:val="de-DE"/>
        </w:rPr>
        <w:lastRenderedPageBreak/>
        <w:t>Die Weidmüller-Gruppe</w:t>
      </w:r>
    </w:p>
    <w:p w14:paraId="0511BA20" w14:textId="77777777" w:rsidR="00715BAB" w:rsidRDefault="00715BAB" w:rsidP="00715BAB">
      <w:pPr>
        <w:spacing w:line="360" w:lineRule="auto"/>
        <w:rPr>
          <w:rFonts w:eastAsia="Arial" w:cs="Arial"/>
          <w:b/>
          <w:sz w:val="18"/>
          <w:szCs w:val="18"/>
          <w:lang w:val="de-DE"/>
        </w:rPr>
      </w:pPr>
    </w:p>
    <w:p w14:paraId="141E093C" w14:textId="77777777" w:rsidR="00715BAB" w:rsidRDefault="00715BAB" w:rsidP="00715BAB">
      <w:pPr>
        <w:spacing w:line="360" w:lineRule="auto"/>
        <w:rPr>
          <w:rFonts w:eastAsia="Arial" w:cs="Arial"/>
          <w:color w:val="000000" w:themeColor="text1"/>
          <w:sz w:val="18"/>
          <w:szCs w:val="18"/>
          <w:lang w:val="de-DE"/>
        </w:rPr>
      </w:pPr>
      <w:r w:rsidRPr="00E240F9">
        <w:rPr>
          <w:rFonts w:eastAsia="Arial" w:cs="Arial"/>
          <w:color w:val="000000" w:themeColor="text1"/>
          <w:sz w:val="18"/>
          <w:szCs w:val="18"/>
          <w:lang w:val="de-DE"/>
        </w:rPr>
        <w:t>Smart Industrial Connectivity: Elektrifizierung, Automatisierung, Digitalisierung, elektrische Verbindungstechnik, Elektromobilität und erneuerbare Energien – Märkte, in denen Weidmüller zu</w:t>
      </w:r>
      <w:r>
        <w:rPr>
          <w:rFonts w:eastAsia="Arial" w:cs="Arial"/>
          <w:color w:val="000000" w:themeColor="text1"/>
          <w:sz w:val="18"/>
          <w:szCs w:val="18"/>
          <w:lang w:val="de-DE"/>
        </w:rPr>
        <w:t xml:space="preserve"> H</w:t>
      </w:r>
      <w:r w:rsidRPr="00E240F9">
        <w:rPr>
          <w:rFonts w:eastAsia="Arial" w:cs="Arial"/>
          <w:color w:val="000000" w:themeColor="text1"/>
          <w:sz w:val="18"/>
          <w:szCs w:val="18"/>
          <w:lang w:val="de-DE"/>
        </w:rPr>
        <w:t>ause ist. Das 1850 gegründete Familienunternehmen ist in über 80 Ländern mit Produktionsstätten</w:t>
      </w:r>
      <w:r>
        <w:rPr>
          <w:rFonts w:eastAsia="Arial" w:cs="Arial"/>
          <w:color w:val="000000" w:themeColor="text1"/>
          <w:sz w:val="18"/>
          <w:szCs w:val="18"/>
          <w:lang w:val="de-DE"/>
        </w:rPr>
        <w:t xml:space="preserve"> und</w:t>
      </w:r>
      <w:r w:rsidRPr="00E240F9">
        <w:rPr>
          <w:rFonts w:eastAsia="Arial" w:cs="Arial"/>
          <w:color w:val="000000" w:themeColor="text1"/>
          <w:sz w:val="18"/>
          <w:szCs w:val="18"/>
          <w:lang w:val="de-DE"/>
        </w:rPr>
        <w:t xml:space="preserve"> Vertriebsgesellschaften vertreten. Als </w:t>
      </w:r>
      <w:r>
        <w:rPr>
          <w:rFonts w:eastAsia="Arial" w:cs="Arial"/>
          <w:color w:val="000000" w:themeColor="text1"/>
          <w:sz w:val="18"/>
          <w:szCs w:val="18"/>
          <w:lang w:val="de-DE"/>
        </w:rPr>
        <w:t>G</w:t>
      </w:r>
      <w:r w:rsidRPr="00E240F9">
        <w:rPr>
          <w:rFonts w:eastAsia="Arial" w:cs="Arial"/>
          <w:color w:val="000000" w:themeColor="text1"/>
          <w:sz w:val="18"/>
          <w:szCs w:val="18"/>
          <w:lang w:val="de-DE"/>
        </w:rPr>
        <w:t>lobal Player in der elektrischen Verbindungstechnik erzielte Weidmüller im Geschäftsjahr 202</w:t>
      </w:r>
      <w:r>
        <w:rPr>
          <w:rFonts w:eastAsia="Arial" w:cs="Arial"/>
          <w:color w:val="000000" w:themeColor="text1"/>
          <w:sz w:val="18"/>
          <w:szCs w:val="18"/>
          <w:lang w:val="de-DE"/>
        </w:rPr>
        <w:t>3</w:t>
      </w:r>
      <w:r w:rsidRPr="00E240F9">
        <w:rPr>
          <w:rFonts w:eastAsia="Arial" w:cs="Arial"/>
          <w:color w:val="000000" w:themeColor="text1"/>
          <w:sz w:val="18"/>
          <w:szCs w:val="18"/>
          <w:lang w:val="de-DE"/>
        </w:rPr>
        <w:t xml:space="preserve"> einen Umsatz von mehr als einer Milliarde Euro mit rund 6.000 Mitarbeiterinnen und Mitarbeitern weltweit </w:t>
      </w:r>
      <w:r>
        <w:rPr>
          <w:rFonts w:eastAsia="Arial" w:cs="Arial"/>
          <w:color w:val="000000" w:themeColor="text1"/>
          <w:sz w:val="18"/>
          <w:szCs w:val="18"/>
          <w:lang w:val="de-DE"/>
        </w:rPr>
        <w:t>–</w:t>
      </w:r>
      <w:r w:rsidRPr="00E240F9">
        <w:rPr>
          <w:rFonts w:eastAsia="Arial" w:cs="Arial"/>
          <w:color w:val="000000" w:themeColor="text1"/>
          <w:sz w:val="18"/>
          <w:szCs w:val="18"/>
          <w:lang w:val="de-DE"/>
        </w:rPr>
        <w:t xml:space="preserve"> davon ca. 2.000 am Stammsitz in Detmold, inmitten von Ostwestfalen-Lippe</w:t>
      </w:r>
      <w:r>
        <w:rPr>
          <w:rFonts w:eastAsia="Arial" w:cs="Arial"/>
          <w:color w:val="000000" w:themeColor="text1"/>
          <w:sz w:val="18"/>
          <w:szCs w:val="18"/>
          <w:lang w:val="de-DE"/>
        </w:rPr>
        <w:t xml:space="preserve">. Dabei lebt Weidmüller </w:t>
      </w:r>
      <w:hyperlink r:id="rId12" w:anchor="wm-1245006">
        <w:r w:rsidRPr="7269C04B">
          <w:rPr>
            <w:rStyle w:val="Hyperlink"/>
            <w:rFonts w:eastAsia="Arial" w:cs="Arial"/>
            <w:sz w:val="18"/>
            <w:szCs w:val="18"/>
            <w:lang w:val="de-DE"/>
          </w:rPr>
          <w:t>Vielfalt mit Respekt</w:t>
        </w:r>
      </w:hyperlink>
      <w:r w:rsidRPr="7269C04B">
        <w:rPr>
          <w:rFonts w:eastAsia="Arial" w:cs="Arial"/>
          <w:color w:val="000000" w:themeColor="text1"/>
          <w:sz w:val="18"/>
          <w:szCs w:val="18"/>
          <w:lang w:val="de-DE"/>
        </w:rPr>
        <w:t>.</w:t>
      </w:r>
    </w:p>
    <w:p w14:paraId="5F5511B2" w14:textId="77777777" w:rsidR="00715BAB" w:rsidRDefault="00715BAB" w:rsidP="00715BAB">
      <w:pPr>
        <w:spacing w:line="360" w:lineRule="auto"/>
        <w:rPr>
          <w:rFonts w:eastAsia="Arial" w:cs="Arial"/>
          <w:color w:val="000000" w:themeColor="text1"/>
          <w:sz w:val="18"/>
          <w:szCs w:val="18"/>
          <w:lang w:val="de-DE"/>
        </w:rPr>
      </w:pPr>
    </w:p>
    <w:p w14:paraId="5D94BDC4" w14:textId="77777777" w:rsidR="00715BAB" w:rsidRDefault="00715BAB" w:rsidP="00715BAB">
      <w:pPr>
        <w:spacing w:line="360" w:lineRule="auto"/>
        <w:rPr>
          <w:rFonts w:eastAsia="Arial" w:cs="Arial"/>
          <w:color w:val="000000" w:themeColor="text1"/>
          <w:sz w:val="18"/>
          <w:szCs w:val="18"/>
          <w:lang w:val="de-DE"/>
        </w:rPr>
      </w:pPr>
      <w:r w:rsidRPr="639EE66A">
        <w:rPr>
          <w:rFonts w:eastAsia="Arial" w:cs="Arial"/>
          <w:color w:val="000000" w:themeColor="text1"/>
          <w:sz w:val="18"/>
          <w:szCs w:val="18"/>
          <w:lang w:val="de-DE"/>
        </w:rPr>
        <w:t xml:space="preserve">Technologien und Engagement für eine lebenswerte </w:t>
      </w:r>
      <w:r w:rsidRPr="00014379">
        <w:rPr>
          <w:rFonts w:eastAsia="Arial" w:cs="Arial"/>
          <w:color w:val="000000" w:themeColor="text1"/>
          <w:sz w:val="18"/>
          <w:szCs w:val="18"/>
          <w:lang w:val="de-DE"/>
        </w:rPr>
        <w:t>Zukunft – wie Weidmüller das Thema Nachhaltigkeit angeht, zeigt das Unternehmen in seiner interaktiven</w:t>
      </w:r>
      <w:r w:rsidRPr="639EE66A">
        <w:rPr>
          <w:rFonts w:eastAsia="Arial" w:cs="Arial"/>
          <w:color w:val="000000" w:themeColor="text1"/>
          <w:sz w:val="18"/>
          <w:szCs w:val="18"/>
          <w:lang w:val="de-DE"/>
        </w:rPr>
        <w:t xml:space="preserve"> </w:t>
      </w:r>
      <w:hyperlink r:id="rId13">
        <w:r w:rsidRPr="639EE66A">
          <w:rPr>
            <w:rStyle w:val="Hyperlink"/>
            <w:rFonts w:eastAsia="Arial" w:cs="Arial"/>
            <w:sz w:val="18"/>
            <w:szCs w:val="18"/>
            <w:lang w:val="de-DE"/>
          </w:rPr>
          <w:t>Nachhaltigkeitsbroschüre</w:t>
        </w:r>
      </w:hyperlink>
      <w:r w:rsidRPr="639EE66A">
        <w:rPr>
          <w:rFonts w:eastAsia="Arial" w:cs="Arial"/>
          <w:color w:val="000000" w:themeColor="text1"/>
          <w:sz w:val="18"/>
          <w:szCs w:val="18"/>
          <w:lang w:val="de-DE"/>
        </w:rPr>
        <w:t>.</w:t>
      </w:r>
    </w:p>
    <w:p w14:paraId="2E40FBD2" w14:textId="77777777" w:rsidR="00715BAB" w:rsidRPr="00D63265" w:rsidRDefault="00715BAB" w:rsidP="00715BAB">
      <w:pPr>
        <w:spacing w:line="360" w:lineRule="auto"/>
        <w:rPr>
          <w:rFonts w:eastAsia="Arial" w:cs="Arial"/>
          <w:color w:val="000000" w:themeColor="text1"/>
          <w:sz w:val="18"/>
          <w:szCs w:val="18"/>
          <w:lang w:val="de-DE"/>
        </w:rPr>
      </w:pPr>
    </w:p>
    <w:p w14:paraId="0E09652F" w14:textId="77777777" w:rsidR="00715BAB" w:rsidRPr="00FA595C" w:rsidRDefault="00715BAB" w:rsidP="00715BAB">
      <w:pPr>
        <w:tabs>
          <w:tab w:val="left" w:pos="1701"/>
        </w:tabs>
        <w:spacing w:line="360" w:lineRule="auto"/>
        <w:jc w:val="both"/>
        <w:rPr>
          <w:rFonts w:eastAsia="Arial" w:cs="Arial"/>
          <w:b/>
          <w:bCs/>
          <w:sz w:val="18"/>
          <w:szCs w:val="18"/>
          <w:lang w:val="de-DE"/>
        </w:rPr>
      </w:pPr>
      <w:r w:rsidRPr="00FA595C">
        <w:rPr>
          <w:rFonts w:eastAsia="Arial" w:cs="Arial"/>
          <w:b/>
          <w:bCs/>
          <w:sz w:val="18"/>
          <w:szCs w:val="18"/>
          <w:lang w:val="de-DE"/>
        </w:rPr>
        <w:t xml:space="preserve">Kontakt: </w:t>
      </w:r>
    </w:p>
    <w:p w14:paraId="197B70E7"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Weidmüller Unternehmenskommunikation</w:t>
      </w:r>
    </w:p>
    <w:p w14:paraId="2FA70391"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 xml:space="preserve">Unternehmenssprecherin Sybille Hilker  </w:t>
      </w:r>
    </w:p>
    <w:p w14:paraId="3540AD9D" w14:textId="77777777" w:rsidR="00715BAB" w:rsidRPr="007E626F" w:rsidRDefault="00715BAB" w:rsidP="00715BAB">
      <w:pPr>
        <w:tabs>
          <w:tab w:val="left" w:pos="1701"/>
        </w:tabs>
        <w:spacing w:line="360" w:lineRule="auto"/>
        <w:rPr>
          <w:rFonts w:eastAsia="Arial" w:cs="Arial"/>
          <w:sz w:val="18"/>
          <w:szCs w:val="18"/>
          <w:lang w:val="de-DE"/>
        </w:rPr>
      </w:pPr>
      <w:r w:rsidRPr="00FA595C">
        <w:rPr>
          <w:rFonts w:eastAsia="Arial" w:cs="Arial"/>
          <w:sz w:val="18"/>
          <w:szCs w:val="18"/>
          <w:lang w:val="de-DE"/>
        </w:rPr>
        <w:t xml:space="preserve">Tel.: +49 (0)5231 / 14-292322  </w:t>
      </w:r>
      <w:r w:rsidRPr="00FA595C">
        <w:rPr>
          <w:rFonts w:eastAsia="Arial" w:cs="Arial"/>
          <w:sz w:val="18"/>
          <w:szCs w:val="18"/>
          <w:lang w:val="de-DE"/>
        </w:rPr>
        <w:br/>
      </w:r>
      <w:r>
        <w:rPr>
          <w:rFonts w:eastAsia="Arial" w:cs="Arial"/>
          <w:sz w:val="18"/>
          <w:szCs w:val="18"/>
          <w:lang w:val="de-DE"/>
        </w:rPr>
        <w:t xml:space="preserve">E-Mail: </w:t>
      </w:r>
      <w:hyperlink r:id="rId14" w:history="1">
        <w:r w:rsidRPr="00311719">
          <w:rPr>
            <w:rStyle w:val="Hyperlink"/>
            <w:rFonts w:eastAsia="Arial" w:cs="Arial"/>
            <w:sz w:val="18"/>
            <w:szCs w:val="18"/>
            <w:lang w:val="de-DE"/>
          </w:rPr>
          <w:t>presse@weidmueller.com</w:t>
        </w:r>
      </w:hyperlink>
    </w:p>
    <w:sectPr w:rsidR="00715BAB" w:rsidRPr="007E626F"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67F3" w14:textId="77777777" w:rsidR="0030021A" w:rsidRDefault="0030021A">
      <w:r>
        <w:separator/>
      </w:r>
    </w:p>
  </w:endnote>
  <w:endnote w:type="continuationSeparator" w:id="0">
    <w:p w14:paraId="77C36C5D" w14:textId="77777777" w:rsidR="0030021A" w:rsidRDefault="0030021A">
      <w:r>
        <w:continuationSeparator/>
      </w:r>
    </w:p>
  </w:endnote>
  <w:endnote w:type="continuationNotice" w:id="1">
    <w:p w14:paraId="5290C979" w14:textId="77777777" w:rsidR="0030021A" w:rsidRDefault="00300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5FC2" w14:textId="77777777" w:rsidR="0030021A" w:rsidRDefault="0030021A">
      <w:r>
        <w:separator/>
      </w:r>
    </w:p>
  </w:footnote>
  <w:footnote w:type="continuationSeparator" w:id="0">
    <w:p w14:paraId="021F250E" w14:textId="77777777" w:rsidR="0030021A" w:rsidRDefault="0030021A">
      <w:r>
        <w:continuationSeparator/>
      </w:r>
    </w:p>
  </w:footnote>
  <w:footnote w:type="continuationNotice" w:id="1">
    <w:p w14:paraId="63CF2329" w14:textId="77777777" w:rsidR="0030021A" w:rsidRDefault="00300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8"/>
  </w:num>
  <w:num w:numId="2" w16cid:durableId="1416321439">
    <w:abstractNumId w:val="19"/>
  </w:num>
  <w:num w:numId="3" w16cid:durableId="301622804">
    <w:abstractNumId w:val="1"/>
  </w:num>
  <w:num w:numId="4" w16cid:durableId="551311798">
    <w:abstractNumId w:val="11"/>
  </w:num>
  <w:num w:numId="5" w16cid:durableId="310981707">
    <w:abstractNumId w:val="15"/>
  </w:num>
  <w:num w:numId="6" w16cid:durableId="1784030166">
    <w:abstractNumId w:val="7"/>
  </w:num>
  <w:num w:numId="7" w16cid:durableId="76102200">
    <w:abstractNumId w:val="14"/>
  </w:num>
  <w:num w:numId="8" w16cid:durableId="1100763751">
    <w:abstractNumId w:val="17"/>
  </w:num>
  <w:num w:numId="9" w16cid:durableId="645162434">
    <w:abstractNumId w:val="13"/>
  </w:num>
  <w:num w:numId="10" w16cid:durableId="1041520560">
    <w:abstractNumId w:val="6"/>
  </w:num>
  <w:num w:numId="11" w16cid:durableId="2010667663">
    <w:abstractNumId w:val="0"/>
  </w:num>
  <w:num w:numId="12" w16cid:durableId="497506094">
    <w:abstractNumId w:val="4"/>
  </w:num>
  <w:num w:numId="13" w16cid:durableId="1526596521">
    <w:abstractNumId w:val="2"/>
  </w:num>
  <w:num w:numId="14" w16cid:durableId="1286421273">
    <w:abstractNumId w:val="16"/>
  </w:num>
  <w:num w:numId="15" w16cid:durableId="1011569598">
    <w:abstractNumId w:val="9"/>
  </w:num>
  <w:num w:numId="16" w16cid:durableId="807476040">
    <w:abstractNumId w:val="10"/>
  </w:num>
  <w:num w:numId="17" w16cid:durableId="1213158734">
    <w:abstractNumId w:val="18"/>
  </w:num>
  <w:num w:numId="18" w16cid:durableId="49420821">
    <w:abstractNumId w:val="3"/>
  </w:num>
  <w:num w:numId="19" w16cid:durableId="641036114">
    <w:abstractNumId w:val="5"/>
  </w:num>
  <w:num w:numId="20" w16cid:durableId="77621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1599"/>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11B"/>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4D6"/>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5F71"/>
    <w:rsid w:val="001864FE"/>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5081"/>
    <w:rsid w:val="00206AD9"/>
    <w:rsid w:val="00207A89"/>
    <w:rsid w:val="002113BF"/>
    <w:rsid w:val="00212017"/>
    <w:rsid w:val="002125B8"/>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4C53"/>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13D"/>
    <w:rsid w:val="002F4871"/>
    <w:rsid w:val="002F757A"/>
    <w:rsid w:val="002F7CD5"/>
    <w:rsid w:val="0030021A"/>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9CF"/>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10"/>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3F85"/>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5CB"/>
    <w:rsid w:val="00405634"/>
    <w:rsid w:val="00406761"/>
    <w:rsid w:val="004076EF"/>
    <w:rsid w:val="00412E23"/>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3812"/>
    <w:rsid w:val="004C3EBC"/>
    <w:rsid w:val="004C6C16"/>
    <w:rsid w:val="004D1FAD"/>
    <w:rsid w:val="004D270B"/>
    <w:rsid w:val="004D2B6C"/>
    <w:rsid w:val="004D30A9"/>
    <w:rsid w:val="004D420A"/>
    <w:rsid w:val="004D4631"/>
    <w:rsid w:val="004D47E4"/>
    <w:rsid w:val="004D6E55"/>
    <w:rsid w:val="004D7B5D"/>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455"/>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3AFF"/>
    <w:rsid w:val="005344E9"/>
    <w:rsid w:val="005368EA"/>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5AF5"/>
    <w:rsid w:val="0058612C"/>
    <w:rsid w:val="00590DAB"/>
    <w:rsid w:val="00592DF0"/>
    <w:rsid w:val="005935B7"/>
    <w:rsid w:val="005941C8"/>
    <w:rsid w:val="0059432C"/>
    <w:rsid w:val="005952CF"/>
    <w:rsid w:val="00595B0F"/>
    <w:rsid w:val="005962CC"/>
    <w:rsid w:val="005965B3"/>
    <w:rsid w:val="00596A98"/>
    <w:rsid w:val="00597442"/>
    <w:rsid w:val="005A1F96"/>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6895"/>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4D52"/>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690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20EC"/>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5DD7"/>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1025"/>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077"/>
    <w:rsid w:val="007B7E23"/>
    <w:rsid w:val="007C0993"/>
    <w:rsid w:val="007C0E59"/>
    <w:rsid w:val="007C1326"/>
    <w:rsid w:val="007C2991"/>
    <w:rsid w:val="007C405D"/>
    <w:rsid w:val="007C40DA"/>
    <w:rsid w:val="007C7631"/>
    <w:rsid w:val="007D04ED"/>
    <w:rsid w:val="007D1336"/>
    <w:rsid w:val="007D1BBE"/>
    <w:rsid w:val="007D22B4"/>
    <w:rsid w:val="007D23A6"/>
    <w:rsid w:val="007D29CB"/>
    <w:rsid w:val="007D4440"/>
    <w:rsid w:val="007D4951"/>
    <w:rsid w:val="007D4C8A"/>
    <w:rsid w:val="007D52EC"/>
    <w:rsid w:val="007D55A4"/>
    <w:rsid w:val="007D5818"/>
    <w:rsid w:val="007D66DC"/>
    <w:rsid w:val="007D7301"/>
    <w:rsid w:val="007E0B87"/>
    <w:rsid w:val="007E173C"/>
    <w:rsid w:val="007E2F7B"/>
    <w:rsid w:val="007E2FD8"/>
    <w:rsid w:val="007E3251"/>
    <w:rsid w:val="007E3328"/>
    <w:rsid w:val="007E4E80"/>
    <w:rsid w:val="007E78A5"/>
    <w:rsid w:val="007F225B"/>
    <w:rsid w:val="007F2D79"/>
    <w:rsid w:val="007F3550"/>
    <w:rsid w:val="007F59FD"/>
    <w:rsid w:val="007F625E"/>
    <w:rsid w:val="007F7D8F"/>
    <w:rsid w:val="007F7DB3"/>
    <w:rsid w:val="00800F50"/>
    <w:rsid w:val="008015EF"/>
    <w:rsid w:val="00803074"/>
    <w:rsid w:val="008034B4"/>
    <w:rsid w:val="008043A0"/>
    <w:rsid w:val="00804AF8"/>
    <w:rsid w:val="008054A4"/>
    <w:rsid w:val="00810F50"/>
    <w:rsid w:val="00811307"/>
    <w:rsid w:val="00811D3D"/>
    <w:rsid w:val="008142D4"/>
    <w:rsid w:val="008144FC"/>
    <w:rsid w:val="00816232"/>
    <w:rsid w:val="008177DD"/>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5D7D"/>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504F"/>
    <w:rsid w:val="0087649E"/>
    <w:rsid w:val="00876B31"/>
    <w:rsid w:val="0087752D"/>
    <w:rsid w:val="00877809"/>
    <w:rsid w:val="00881A2F"/>
    <w:rsid w:val="0088342B"/>
    <w:rsid w:val="00883DA3"/>
    <w:rsid w:val="00884902"/>
    <w:rsid w:val="008914F3"/>
    <w:rsid w:val="008924D3"/>
    <w:rsid w:val="00892606"/>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CF7"/>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362"/>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14A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EEB"/>
    <w:rsid w:val="00BF1FD6"/>
    <w:rsid w:val="00BF2A33"/>
    <w:rsid w:val="00BF2F1B"/>
    <w:rsid w:val="00BF31F9"/>
    <w:rsid w:val="00BF4B35"/>
    <w:rsid w:val="00BF6177"/>
    <w:rsid w:val="00C00B4D"/>
    <w:rsid w:val="00C00C0A"/>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5F7C"/>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3B99"/>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2839"/>
    <w:rsid w:val="00D94D27"/>
    <w:rsid w:val="00D964F9"/>
    <w:rsid w:val="00D96A4E"/>
    <w:rsid w:val="00D970D4"/>
    <w:rsid w:val="00D9732A"/>
    <w:rsid w:val="00DA06B9"/>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E7E05"/>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2F07"/>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55F0"/>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298F"/>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22E8"/>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494"/>
    <w:rsid w:val="00F81EFD"/>
    <w:rsid w:val="00F829AE"/>
    <w:rsid w:val="00F833B9"/>
    <w:rsid w:val="00F84DB6"/>
    <w:rsid w:val="00F8589A"/>
    <w:rsid w:val="00F860E7"/>
    <w:rsid w:val="00F864E5"/>
    <w:rsid w:val="00F8701B"/>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2F1D9F3"/>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2B1E3C"/>
    <w:rsid w:val="6D676724"/>
    <w:rsid w:val="6D9A3390"/>
    <w:rsid w:val="6F25190C"/>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iPriority w:val="99"/>
    <w:unhideWhenUsed/>
    <w:rsid w:val="00AD43DE"/>
    <w:rPr>
      <w:sz w:val="20"/>
    </w:rPr>
  </w:style>
  <w:style w:type="character" w:customStyle="1" w:styleId="KommentartextZchn">
    <w:name w:val="Kommentartext Zchn"/>
    <w:basedOn w:val="Absatz-Standardschriftart"/>
    <w:link w:val="Kommentartext"/>
    <w:uiPriority w:val="99"/>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33764000">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891770770">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36B3C1DD-8163-4134-B36D-69F60EAA0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4891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OCD Partnerschaft</dc:title>
  <dc:subject/>
  <dc:creator>presse@weidmueller.com</dc:creator>
  <cp:keywords/>
  <cp:lastModifiedBy>Bayer, Katharina</cp:lastModifiedBy>
  <cp:revision>73</cp:revision>
  <cp:lastPrinted>2018-03-06T08:44:00Z</cp:lastPrinted>
  <dcterms:created xsi:type="dcterms:W3CDTF">2023-08-02T12:01:00Z</dcterms:created>
  <dcterms:modified xsi:type="dcterms:W3CDTF">2024-11-12T15:06:00Z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