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461F9" w14:textId="3F1B1EDF" w:rsidR="008371AB" w:rsidRDefault="00DD173F" w:rsidP="00590DAB">
      <w:pPr>
        <w:spacing w:line="360" w:lineRule="auto"/>
        <w:jc w:val="both"/>
        <w:rPr>
          <w:rFonts w:eastAsia="Batang" w:cs="Arial"/>
          <w:b/>
          <w:szCs w:val="22"/>
        </w:rPr>
      </w:pPr>
      <w:r>
        <w:rPr>
          <w:b/>
        </w:rPr>
        <w:t>Weidmüller Klippon® Connect terminal blocks with PUSH IN</w:t>
      </w:r>
      <w:r w:rsidR="0029313C">
        <w:rPr>
          <w:b/>
        </w:rPr>
        <w:t>-P</w:t>
      </w:r>
      <w:r>
        <w:rPr>
          <w:b/>
        </w:rPr>
        <w:t>ower connection: Extension of the A-Series terminal block portfolio with the new A2C 50/70 and A2C 95/120 high-current terminal blocks for wire cross-sections up to 70 mm², and 120 mm² respectively – connection of solid/stranded and stranded wire conductors – standardised test points with 2.0 mm² diameter – individual terminal block systems and prefabricated blocks available for various mounting options</w:t>
      </w:r>
    </w:p>
    <w:p w14:paraId="0C6F685A" w14:textId="77777777" w:rsidR="00DD173F" w:rsidRPr="00D61989" w:rsidRDefault="00DD173F" w:rsidP="00590DAB">
      <w:pPr>
        <w:spacing w:line="360" w:lineRule="auto"/>
        <w:jc w:val="both"/>
        <w:rPr>
          <w:rFonts w:eastAsia="Batang" w:cs="Arial"/>
          <w:b/>
          <w:szCs w:val="22"/>
          <w:lang w:val="en-US"/>
        </w:rPr>
      </w:pPr>
    </w:p>
    <w:p w14:paraId="2902F57A" w14:textId="77777777" w:rsidR="00DD173F" w:rsidRPr="00D61989" w:rsidRDefault="00DD173F" w:rsidP="00590DAB">
      <w:pPr>
        <w:spacing w:line="360" w:lineRule="auto"/>
        <w:jc w:val="both"/>
        <w:rPr>
          <w:rFonts w:cs="Arial"/>
          <w:lang w:val="en-US"/>
        </w:rPr>
      </w:pPr>
    </w:p>
    <w:p w14:paraId="7190064F" w14:textId="1850DA04" w:rsidR="00DD173F" w:rsidRPr="00A56EE6" w:rsidRDefault="00DD173F" w:rsidP="00DD173F">
      <w:pPr>
        <w:spacing w:line="360" w:lineRule="auto"/>
        <w:jc w:val="both"/>
        <w:rPr>
          <w:rFonts w:cs="Arial"/>
        </w:rPr>
      </w:pPr>
      <w:r>
        <w:t>Space and time are at a premium in panel building. Klippon® Connect high-current terminal blocks from Weidmüller help to save both and at the same time ensure the safe and efficient distribution of electrical power to the consumers. The Klippon® Connect product family has been extended to include the new A2C 50/70 and A2C 95/120 high-current terminal blocks. They allow the connection of solid and stranded conductors up to a rated cross-section of 70 mm² or 120 mm². Further characteristics are a rated voltage of 1000 V AC/1500 V DC and a rated current of 150 A (A2C 50/70) or 232 A (A2C 95/120).</w:t>
      </w:r>
    </w:p>
    <w:p w14:paraId="1422B0F1" w14:textId="5F41BB61" w:rsidR="00B20284" w:rsidRDefault="00DD173F" w:rsidP="00DD173F">
      <w:pPr>
        <w:spacing w:line="360" w:lineRule="auto"/>
        <w:jc w:val="both"/>
      </w:pPr>
      <w:r>
        <w:t xml:space="preserve">Like the variation for smaller cross-sections, the new terminal blocks are also equipped with the </w:t>
      </w:r>
      <w:r>
        <w:rPr>
          <w:rFonts w:ascii="ArialNarrow" w:hAnsi="ArialNarrow"/>
          <w:sz w:val="24"/>
        </w:rPr>
        <w:t>PUSH IN</w:t>
      </w:r>
      <w:r w:rsidR="0029313C">
        <w:rPr>
          <w:rFonts w:ascii="ArialNarrow" w:hAnsi="ArialNarrow"/>
          <w:sz w:val="24"/>
        </w:rPr>
        <w:t>-P</w:t>
      </w:r>
      <w:r>
        <w:rPr>
          <w:rFonts w:ascii="ArialNarrow" w:hAnsi="ArialNarrow"/>
          <w:sz w:val="24"/>
        </w:rPr>
        <w:t>ower connection</w:t>
      </w:r>
      <w:r>
        <w:t xml:space="preserve"> with operating lever. This enables wire connection in seconds – simply insert the conductor into the open contact point, actuate the lever and a long-term stable, gas-tight and vibration-proof connection is established.</w:t>
      </w:r>
      <w:r w:rsidR="00B20284">
        <w:t xml:space="preserve"> </w:t>
      </w:r>
      <w:r w:rsidR="00B20284" w:rsidRPr="00B20284">
        <w:t xml:space="preserve">When the lever is closed, the conductor can be inserted directly into the </w:t>
      </w:r>
      <w:proofErr w:type="spellStart"/>
      <w:r w:rsidR="00B20284">
        <w:t>conncetion</w:t>
      </w:r>
      <w:proofErr w:type="spellEnd"/>
      <w:r w:rsidR="00B20284">
        <w:t xml:space="preserve"> point </w:t>
      </w:r>
      <w:r w:rsidR="00B20284" w:rsidRPr="00B20284">
        <w:t xml:space="preserve">without </w:t>
      </w:r>
      <w:r w:rsidR="00B20284">
        <w:t xml:space="preserve">any </w:t>
      </w:r>
      <w:r w:rsidR="00B20284" w:rsidRPr="00B20284">
        <w:t>tools</w:t>
      </w:r>
      <w:r w:rsidR="00B20284">
        <w:t>.</w:t>
      </w:r>
    </w:p>
    <w:p w14:paraId="54326CAA" w14:textId="77777777" w:rsidR="00B20284" w:rsidRDefault="00B20284" w:rsidP="00DD173F">
      <w:pPr>
        <w:spacing w:line="360" w:lineRule="auto"/>
        <w:jc w:val="both"/>
      </w:pPr>
    </w:p>
    <w:p w14:paraId="3D4EFF5B" w14:textId="614E4E67" w:rsidR="00DD173F" w:rsidRPr="00A56EE6" w:rsidRDefault="00DD173F" w:rsidP="00DD173F">
      <w:pPr>
        <w:spacing w:line="360" w:lineRule="auto"/>
        <w:jc w:val="both"/>
        <w:rPr>
          <w:rFonts w:cs="Arial"/>
        </w:rPr>
      </w:pPr>
      <w:r>
        <w:t>The connection guarantees a high degree of flexibility during wiring while maintaining process reliability. This saves a lot of time, especially during wiring work in the plant field, which often takes place under adverse conditions.</w:t>
      </w:r>
    </w:p>
    <w:p w14:paraId="1AA72D3D" w14:textId="5B56F2AC" w:rsidR="00DD173F" w:rsidRPr="00A56EE6" w:rsidRDefault="00DD173F" w:rsidP="00DD173F">
      <w:pPr>
        <w:spacing w:line="360" w:lineRule="auto"/>
        <w:jc w:val="both"/>
        <w:rPr>
          <w:rFonts w:cs="Arial"/>
        </w:rPr>
      </w:pPr>
      <w:r>
        <w:t>The potential distribution is just as simple as the connection. The cross-connections are simply placed in the open contact point and the lever confirmed. This establishes a secure contact, both with and without an additionally connected conductor. The cross-connections are designed in such a way that they are immediately recognisable even when conductors are connected. The orange collar protrudes unmistakably from the contact point without interfering with the wiring work.</w:t>
      </w:r>
    </w:p>
    <w:p w14:paraId="1A7F3536" w14:textId="591901CB" w:rsidR="00DD173F" w:rsidRPr="00A56EE6" w:rsidRDefault="00DD173F" w:rsidP="00DD173F">
      <w:pPr>
        <w:spacing w:line="360" w:lineRule="auto"/>
        <w:jc w:val="both"/>
        <w:rPr>
          <w:rFonts w:cs="Arial"/>
        </w:rPr>
      </w:pPr>
      <w:r>
        <w:lastRenderedPageBreak/>
        <w:t>A uniform auxiliary connection for the cross-section sizes from 50 mm² to 185 mm² enables a separate voltage point. This can be used, for example, for the emergency power supply before the main switch, as a signal point or for looping in a surge protector. Other applications include providing a service socket or control cabinet lighting. The auxiliary connection is equipped with a lever mechanism. This allows the tool-free wiring of stranded wires</w:t>
      </w:r>
      <w:r w:rsidR="00B20284">
        <w:t xml:space="preserve"> as well</w:t>
      </w:r>
      <w:r>
        <w:t>. Another practical feature are the standardised test points with 2.0 mm diameter. Standardised accessories guarantee trouble-free work with all A-Series terminal block systems and provide a streamlined portfolio of accessories for quick and easy testing.</w:t>
      </w:r>
    </w:p>
    <w:p w14:paraId="1D290700" w14:textId="46FA3D7A" w:rsidR="00DD173F" w:rsidRPr="00A56EE6" w:rsidRDefault="00E964C2" w:rsidP="00DD173F">
      <w:pPr>
        <w:spacing w:line="360" w:lineRule="auto"/>
        <w:jc w:val="both"/>
        <w:rPr>
          <w:rFonts w:cs="Arial"/>
        </w:rPr>
      </w:pPr>
      <w:r>
        <w:t xml:space="preserve">For a better overview, especially with a wide range of installation options, large-area marker tags are available to identify the voltage applied. The fixing of the lightning markers in the connection areas from 35 mm² to 185 mm² additionally prevents wiring in the live state. This ensures increased safety for man and machine. </w:t>
      </w:r>
    </w:p>
    <w:p w14:paraId="49FE4F2F" w14:textId="4D09A6CD" w:rsidR="00DD173F" w:rsidRDefault="00DD173F" w:rsidP="00DD173F">
      <w:pPr>
        <w:spacing w:line="360" w:lineRule="auto"/>
        <w:jc w:val="both"/>
      </w:pPr>
      <w:r>
        <w:t xml:space="preserve">The range of individual terminal block systems, prefabricated blocks and various mounting options leaves nothing to be desired: Customers can choose from three-, four- and five-pole block variations, i.e. L1, L2, L3 or L1, L2, L3 and N as well as L1, L2, L3, N and PE. Prefabricated supply blocks reduce the number of variations and storage costs. They are also quick and easy to install, either snapped onto TS 35 terminal rail or screwed onto a mounting plate via an integrated foot bracket. </w:t>
      </w:r>
    </w:p>
    <w:p w14:paraId="0650E75C" w14:textId="77777777" w:rsidR="001313B2" w:rsidRPr="00A56EE6" w:rsidRDefault="001313B2" w:rsidP="00DD173F">
      <w:pPr>
        <w:spacing w:line="360" w:lineRule="auto"/>
        <w:jc w:val="both"/>
        <w:rPr>
          <w:rFonts w:cs="Arial"/>
        </w:rPr>
      </w:pPr>
    </w:p>
    <w:p w14:paraId="3C30A327" w14:textId="77777777" w:rsidR="00DD173F" w:rsidRPr="00DD173F" w:rsidRDefault="00DD173F" w:rsidP="00DD173F">
      <w:pPr>
        <w:spacing w:line="360" w:lineRule="auto"/>
        <w:jc w:val="both"/>
        <w:rPr>
          <w:rFonts w:cs="Arial"/>
        </w:rPr>
      </w:pPr>
      <w:proofErr w:type="gramStart"/>
      <w:r>
        <w:t>Last but not least</w:t>
      </w:r>
      <w:proofErr w:type="gramEnd"/>
      <w:r>
        <w:t>: Klippon® Connect high-current terminal blocks support the entire panel building process with their convincing concept. Whether it's simple handling when connecting the conductors, more space in the control cabinet or time savings during installation: Klippon® Connect makes a significant contribution towards increasing productivity, efficiency and safety.</w:t>
      </w:r>
    </w:p>
    <w:p w14:paraId="30EFEA48" w14:textId="77777777" w:rsidR="00953E85" w:rsidRPr="00D61989" w:rsidRDefault="00953E85" w:rsidP="00953E85">
      <w:pPr>
        <w:spacing w:line="360" w:lineRule="auto"/>
        <w:jc w:val="both"/>
        <w:rPr>
          <w:rFonts w:cs="Arial"/>
          <w:szCs w:val="22"/>
          <w:lang w:val="en-US"/>
        </w:rPr>
      </w:pPr>
    </w:p>
    <w:p w14:paraId="7EFBA132" w14:textId="6BFA8193" w:rsidR="009608ED" w:rsidRDefault="001313B2" w:rsidP="00B36227">
      <w:pPr>
        <w:spacing w:line="360" w:lineRule="auto"/>
        <w:jc w:val="both"/>
        <w:rPr>
          <w:sz w:val="18"/>
        </w:rPr>
      </w:pPr>
      <w:r>
        <w:rPr>
          <w:sz w:val="18"/>
        </w:rPr>
        <w:t>3,676</w:t>
      </w:r>
      <w:r w:rsidR="00BF7261">
        <w:rPr>
          <w:sz w:val="18"/>
        </w:rPr>
        <w:t xml:space="preserve"> characters including spaces</w:t>
      </w:r>
    </w:p>
    <w:p w14:paraId="0449DF97" w14:textId="211348A6" w:rsidR="001313B2" w:rsidRDefault="001313B2" w:rsidP="00B36227">
      <w:pPr>
        <w:spacing w:line="360" w:lineRule="auto"/>
        <w:jc w:val="both"/>
        <w:rPr>
          <w:sz w:val="18"/>
        </w:rPr>
      </w:pPr>
    </w:p>
    <w:p w14:paraId="212A4ACC" w14:textId="77777777" w:rsidR="001313B2" w:rsidRPr="001313B2" w:rsidRDefault="001313B2" w:rsidP="001313B2">
      <w:pPr>
        <w:spacing w:line="360" w:lineRule="auto"/>
        <w:jc w:val="both"/>
        <w:rPr>
          <w:rFonts w:cs="Arial"/>
          <w:sz w:val="18"/>
          <w:szCs w:val="22"/>
        </w:rPr>
      </w:pPr>
    </w:p>
    <w:p w14:paraId="7BD6C2E5" w14:textId="61E65505" w:rsidR="001313B2" w:rsidRDefault="001313B2" w:rsidP="001313B2">
      <w:pPr>
        <w:spacing w:line="360" w:lineRule="auto"/>
        <w:jc w:val="both"/>
        <w:rPr>
          <w:rFonts w:cs="Arial"/>
          <w:sz w:val="18"/>
          <w:szCs w:val="22"/>
        </w:rPr>
      </w:pPr>
      <w:r w:rsidRPr="001313B2">
        <w:rPr>
          <w:rFonts w:cs="Arial"/>
          <w:sz w:val="18"/>
          <w:szCs w:val="22"/>
        </w:rPr>
        <w:t>Author: Dipl.-Ing. Silke Lödige, Manager Trade Press, Weidmüller Interface GmbH &amp; Co. KG</w:t>
      </w:r>
    </w:p>
    <w:p w14:paraId="5C5892EE" w14:textId="77777777" w:rsidR="001313B2" w:rsidRDefault="001313B2" w:rsidP="001313B2">
      <w:pPr>
        <w:spacing w:line="360" w:lineRule="auto"/>
        <w:jc w:val="both"/>
        <w:rPr>
          <w:rFonts w:cs="Arial"/>
          <w:sz w:val="18"/>
          <w:szCs w:val="22"/>
        </w:rPr>
      </w:pPr>
    </w:p>
    <w:p w14:paraId="16640197" w14:textId="55D03972" w:rsidR="009608ED" w:rsidRDefault="009608ED" w:rsidP="00B36227">
      <w:pPr>
        <w:spacing w:line="360" w:lineRule="auto"/>
        <w:jc w:val="both"/>
        <w:rPr>
          <w:rFonts w:cs="Arial"/>
          <w:szCs w:val="22"/>
        </w:rPr>
      </w:pPr>
    </w:p>
    <w:p w14:paraId="46CB415C" w14:textId="7C6183CE" w:rsidR="005950B1" w:rsidRDefault="00324B94" w:rsidP="005950B1">
      <w:pPr>
        <w:spacing w:line="360" w:lineRule="auto"/>
        <w:jc w:val="both"/>
        <w:rPr>
          <w:rFonts w:cs="Arial"/>
        </w:rPr>
      </w:pPr>
      <w:r w:rsidRPr="005A3497">
        <w:rPr>
          <w:b/>
          <w:bCs/>
        </w:rPr>
        <w:lastRenderedPageBreak/>
        <w:t>Image caption</w:t>
      </w:r>
      <w:r>
        <w:t>: A2C_35_120_Block_</w:t>
      </w:r>
      <w:r w:rsidR="005A3497">
        <w:t>ohne_Kabel_Modul</w:t>
      </w:r>
      <w:r>
        <w:t xml:space="preserve"> </w:t>
      </w:r>
    </w:p>
    <w:p w14:paraId="159DAC3D" w14:textId="0D8395E0" w:rsidR="00324B94" w:rsidRDefault="005950B1" w:rsidP="005950B1">
      <w:pPr>
        <w:spacing w:line="360" w:lineRule="auto"/>
        <w:jc w:val="both"/>
        <w:rPr>
          <w:rFonts w:cs="Arial"/>
        </w:rPr>
      </w:pPr>
      <w:r>
        <w:t>Weidmüller A2C 50/70 and A2C 95/120 feed-through terminal blocks for safe and efficient distribution of current to power consumers</w:t>
      </w:r>
    </w:p>
    <w:p w14:paraId="0C19761D" w14:textId="440A6BB3" w:rsidR="005950B1" w:rsidRDefault="005950B1" w:rsidP="005950B1">
      <w:pPr>
        <w:spacing w:line="360" w:lineRule="auto"/>
        <w:jc w:val="both"/>
        <w:rPr>
          <w:rFonts w:cs="Arial"/>
        </w:rPr>
      </w:pPr>
    </w:p>
    <w:p w14:paraId="03655659" w14:textId="34D5D908" w:rsidR="005950B1" w:rsidRDefault="005950B1" w:rsidP="005950B1">
      <w:pPr>
        <w:spacing w:line="360" w:lineRule="auto"/>
        <w:jc w:val="both"/>
        <w:rPr>
          <w:rFonts w:cs="Arial"/>
        </w:rPr>
      </w:pPr>
      <w:r w:rsidRPr="005A3497">
        <w:rPr>
          <w:b/>
          <w:bCs/>
        </w:rPr>
        <w:t>Image caption</w:t>
      </w:r>
      <w:r>
        <w:t xml:space="preserve">: A2C_35_185_Additional </w:t>
      </w:r>
      <w:proofErr w:type="spellStart"/>
      <w:r>
        <w:t>Plug_Module</w:t>
      </w:r>
      <w:proofErr w:type="spellEnd"/>
    </w:p>
    <w:p w14:paraId="0AF3D4C9" w14:textId="6E74F24A" w:rsidR="005950B1" w:rsidRDefault="005950B1" w:rsidP="005950B1">
      <w:pPr>
        <w:spacing w:line="360" w:lineRule="auto"/>
        <w:jc w:val="both"/>
        <w:rPr>
          <w:rFonts w:cs="Arial"/>
        </w:rPr>
      </w:pPr>
      <w:r>
        <w:t>A uniform auxiliary connection for the cross-section sizes from 50 mm² to 185 mm² enables a separate voltage point.</w:t>
      </w:r>
    </w:p>
    <w:p w14:paraId="536298B2" w14:textId="02EAD2CB" w:rsidR="005950B1" w:rsidRPr="00D61989" w:rsidRDefault="005950B1" w:rsidP="005950B1">
      <w:pPr>
        <w:spacing w:line="360" w:lineRule="auto"/>
        <w:jc w:val="both"/>
        <w:rPr>
          <w:rFonts w:cs="Arial"/>
          <w:lang w:val="en-US"/>
        </w:rPr>
      </w:pPr>
    </w:p>
    <w:p w14:paraId="73707F9D" w14:textId="177FE570" w:rsidR="005950B1" w:rsidRPr="005950B1" w:rsidRDefault="005950B1" w:rsidP="005950B1">
      <w:pPr>
        <w:spacing w:line="360" w:lineRule="auto"/>
        <w:jc w:val="both"/>
        <w:rPr>
          <w:rFonts w:cs="Arial"/>
        </w:rPr>
      </w:pPr>
      <w:r w:rsidRPr="005A3497">
        <w:rPr>
          <w:b/>
          <w:bCs/>
        </w:rPr>
        <w:t>Image caption</w:t>
      </w:r>
      <w:r>
        <w:t>: A2C_35_185_Cross_Connection_Module</w:t>
      </w:r>
    </w:p>
    <w:p w14:paraId="2091CA8A" w14:textId="264BBA37" w:rsidR="005950B1" w:rsidRPr="005950B1" w:rsidRDefault="005950B1" w:rsidP="005950B1">
      <w:pPr>
        <w:autoSpaceDE w:val="0"/>
        <w:autoSpaceDN w:val="0"/>
        <w:adjustRightInd w:val="0"/>
        <w:rPr>
          <w:rFonts w:cs="Arial"/>
        </w:rPr>
      </w:pPr>
      <w:r>
        <w:t>Efficient potential distribution: Simply place the cross-connections in the open contact point and close the contact point with the lever</w:t>
      </w:r>
    </w:p>
    <w:p w14:paraId="435BA06A" w14:textId="225D9D95" w:rsidR="005950B1" w:rsidRPr="00D61989" w:rsidRDefault="005950B1" w:rsidP="005950B1">
      <w:pPr>
        <w:spacing w:line="360" w:lineRule="auto"/>
        <w:jc w:val="both"/>
        <w:rPr>
          <w:rFonts w:cs="Arial"/>
          <w:lang w:val="en-US"/>
        </w:rPr>
      </w:pPr>
    </w:p>
    <w:p w14:paraId="213B0BBB" w14:textId="7DC18A7A" w:rsidR="005950B1" w:rsidRDefault="005950B1" w:rsidP="005950B1">
      <w:pPr>
        <w:spacing w:line="360" w:lineRule="auto"/>
        <w:jc w:val="both"/>
        <w:rPr>
          <w:rFonts w:cs="Arial"/>
        </w:rPr>
      </w:pPr>
      <w:r w:rsidRPr="005A3497">
        <w:rPr>
          <w:b/>
          <w:bCs/>
        </w:rPr>
        <w:t>Image caption</w:t>
      </w:r>
      <w:r>
        <w:t>: A2C_35_185_Probing_Module</w:t>
      </w:r>
    </w:p>
    <w:p w14:paraId="04EA552C" w14:textId="34E4E42C" w:rsidR="005950B1" w:rsidRDefault="005950B1" w:rsidP="005950B1">
      <w:pPr>
        <w:spacing w:line="360" w:lineRule="auto"/>
        <w:jc w:val="both"/>
        <w:rPr>
          <w:rFonts w:cs="Arial"/>
        </w:rPr>
      </w:pPr>
      <w:r>
        <w:t>A standard 2.0 mm diameter test point allows easy and fast testing</w:t>
      </w:r>
    </w:p>
    <w:p w14:paraId="57038A36" w14:textId="692EF93B" w:rsidR="005950B1" w:rsidRPr="00D61989" w:rsidRDefault="005950B1" w:rsidP="005950B1">
      <w:pPr>
        <w:spacing w:line="360" w:lineRule="auto"/>
        <w:jc w:val="both"/>
        <w:rPr>
          <w:rFonts w:cs="Arial"/>
          <w:lang w:val="en-US"/>
        </w:rPr>
      </w:pPr>
    </w:p>
    <w:p w14:paraId="1622FAFD" w14:textId="4C12412D" w:rsidR="005950B1" w:rsidRDefault="005950B1" w:rsidP="005950B1">
      <w:pPr>
        <w:spacing w:line="360" w:lineRule="auto"/>
        <w:jc w:val="both"/>
        <w:rPr>
          <w:rFonts w:cs="Arial"/>
        </w:rPr>
      </w:pPr>
      <w:r w:rsidRPr="005A3497">
        <w:rPr>
          <w:b/>
          <w:bCs/>
        </w:rPr>
        <w:t>Image caption:</w:t>
      </w:r>
      <w:r>
        <w:t xml:space="preserve"> A2C_35_185_ProtectionCover_Module</w:t>
      </w:r>
    </w:p>
    <w:p w14:paraId="735B4957" w14:textId="59F3CBE9" w:rsidR="005950B1" w:rsidRDefault="005950B1" w:rsidP="005950B1">
      <w:pPr>
        <w:spacing w:line="360" w:lineRule="auto"/>
        <w:jc w:val="both"/>
        <w:rPr>
          <w:rFonts w:cs="Arial"/>
        </w:rPr>
      </w:pPr>
      <w:r>
        <w:t>Large-area marker tags direct attention to a voltage applied. The fastening of the lightning markers additionally prevents wiring in the live state</w:t>
      </w:r>
    </w:p>
    <w:p w14:paraId="708E0AB9" w14:textId="77777777" w:rsidR="005950B1" w:rsidRPr="00D61989" w:rsidRDefault="005950B1" w:rsidP="005950B1">
      <w:pPr>
        <w:spacing w:line="360" w:lineRule="auto"/>
        <w:jc w:val="both"/>
        <w:rPr>
          <w:rFonts w:cs="Arial"/>
          <w:lang w:val="en-US"/>
        </w:rPr>
      </w:pPr>
    </w:p>
    <w:p w14:paraId="6747690C" w14:textId="0B295CD1" w:rsidR="00960747" w:rsidRPr="006F3D6E" w:rsidRDefault="005950B1" w:rsidP="00960747">
      <w:pPr>
        <w:spacing w:line="360" w:lineRule="auto"/>
        <w:jc w:val="both"/>
        <w:rPr>
          <w:rFonts w:cs="Arial"/>
          <w:b/>
          <w:bCs/>
          <w:sz w:val="20"/>
          <w:szCs w:val="22"/>
        </w:rPr>
      </w:pPr>
      <w:r>
        <w:t xml:space="preserve"> </w:t>
      </w:r>
      <w:r w:rsidR="00960747">
        <w:rPr>
          <w:b/>
          <w:sz w:val="20"/>
        </w:rPr>
        <w:t>Weidmüller – Partner in Industrial Connectivity</w:t>
      </w:r>
    </w:p>
    <w:p w14:paraId="3995CC79" w14:textId="3DAFBE98" w:rsidR="00960747" w:rsidRPr="0072325B" w:rsidRDefault="00960747" w:rsidP="00960747">
      <w:pPr>
        <w:spacing w:line="360" w:lineRule="auto"/>
        <w:jc w:val="both"/>
        <w:rPr>
          <w:rFonts w:cs="Arial"/>
          <w:sz w:val="20"/>
          <w:szCs w:val="22"/>
        </w:rPr>
      </w:pPr>
      <w:r>
        <w:rPr>
          <w:sz w:val="20"/>
        </w:rPr>
        <w:t>The Weidmüller Group has production facilities, sales companies and representatives in more than 80 countries.  Together with our customers, we shape the digital transformation – with products, solutions and services for Smart Industrial Connectivity and the Industrial Internet of Things. In the 20</w:t>
      </w:r>
      <w:r w:rsidR="001313B2">
        <w:rPr>
          <w:sz w:val="20"/>
        </w:rPr>
        <w:t>20</w:t>
      </w:r>
      <w:r>
        <w:rPr>
          <w:sz w:val="20"/>
        </w:rPr>
        <w:t xml:space="preserve"> financial year, Weidmüller generated sales of €</w:t>
      </w:r>
      <w:r w:rsidR="001313B2">
        <w:rPr>
          <w:sz w:val="20"/>
        </w:rPr>
        <w:t>792</w:t>
      </w:r>
      <w:bookmarkStart w:id="0" w:name="_GoBack"/>
      <w:bookmarkEnd w:id="0"/>
      <w:r>
        <w:rPr>
          <w:sz w:val="20"/>
        </w:rPr>
        <w:t xml:space="preserve"> million with around 5,000 employees. </w:t>
      </w:r>
    </w:p>
    <w:p w14:paraId="42D21300" w14:textId="77777777" w:rsidR="00960747" w:rsidRPr="00D61989" w:rsidRDefault="00960747" w:rsidP="00960747">
      <w:pPr>
        <w:spacing w:line="360" w:lineRule="auto"/>
        <w:jc w:val="both"/>
        <w:rPr>
          <w:rFonts w:cs="Arial"/>
          <w:sz w:val="20"/>
          <w:szCs w:val="22"/>
          <w:lang w:val="en-US"/>
        </w:rPr>
      </w:pPr>
    </w:p>
    <w:p w14:paraId="102FC710" w14:textId="77777777" w:rsidR="00960747" w:rsidRDefault="00960747" w:rsidP="00960747">
      <w:pPr>
        <w:tabs>
          <w:tab w:val="left" w:pos="1134"/>
        </w:tabs>
        <w:spacing w:line="360" w:lineRule="auto"/>
        <w:jc w:val="both"/>
        <w:rPr>
          <w:sz w:val="20"/>
        </w:rPr>
      </w:pPr>
      <w:r>
        <w:rPr>
          <w:b/>
          <w:sz w:val="20"/>
        </w:rPr>
        <w:t>Contact</w:t>
      </w:r>
      <w:r>
        <w:rPr>
          <w:sz w:val="20"/>
        </w:rPr>
        <w:t xml:space="preserve"> </w:t>
      </w:r>
      <w:r>
        <w:rPr>
          <w:sz w:val="20"/>
        </w:rPr>
        <w:tab/>
      </w:r>
      <w:r>
        <w:rPr>
          <w:sz w:val="20"/>
        </w:rPr>
        <w:tab/>
      </w:r>
      <w:r>
        <w:rPr>
          <w:sz w:val="20"/>
        </w:rPr>
        <w:tab/>
        <w:t>Weidmüller Corporate Communications</w:t>
      </w:r>
    </w:p>
    <w:p w14:paraId="13F45F0C" w14:textId="77777777" w:rsidR="00960747" w:rsidRPr="005B12B9" w:rsidRDefault="00960747" w:rsidP="00960747">
      <w:pPr>
        <w:tabs>
          <w:tab w:val="left" w:pos="1134"/>
        </w:tabs>
        <w:spacing w:line="360" w:lineRule="auto"/>
        <w:jc w:val="both"/>
        <w:rPr>
          <w:sz w:val="20"/>
        </w:rPr>
      </w:pPr>
      <w:r>
        <w:rPr>
          <w:sz w:val="20"/>
        </w:rPr>
        <w:tab/>
      </w:r>
      <w:r>
        <w:rPr>
          <w:sz w:val="20"/>
        </w:rPr>
        <w:tab/>
      </w:r>
      <w:r>
        <w:rPr>
          <w:sz w:val="20"/>
        </w:rPr>
        <w:tab/>
      </w:r>
      <w:r>
        <w:rPr>
          <w:rFonts w:ascii="ArialMT" w:hAnsi="ArialMT"/>
          <w:sz w:val="20"/>
        </w:rPr>
        <w:t>Corporate Spokesperson, Sybille Hilker</w:t>
      </w:r>
    </w:p>
    <w:p w14:paraId="20EF059C" w14:textId="77777777" w:rsidR="00960747" w:rsidRPr="00D61989" w:rsidRDefault="00960747" w:rsidP="00960747">
      <w:pPr>
        <w:tabs>
          <w:tab w:val="left" w:pos="1134"/>
        </w:tabs>
        <w:spacing w:line="360" w:lineRule="auto"/>
        <w:jc w:val="both"/>
        <w:rPr>
          <w:sz w:val="20"/>
          <w:szCs w:val="22"/>
          <w:lang w:val="de-DE"/>
        </w:rPr>
      </w:pPr>
      <w:r>
        <w:rPr>
          <w:sz w:val="20"/>
        </w:rPr>
        <w:tab/>
      </w:r>
      <w:r>
        <w:rPr>
          <w:sz w:val="20"/>
        </w:rPr>
        <w:tab/>
      </w:r>
      <w:r>
        <w:rPr>
          <w:sz w:val="20"/>
        </w:rPr>
        <w:tab/>
      </w:r>
      <w:r w:rsidRPr="00D61989">
        <w:rPr>
          <w:sz w:val="20"/>
          <w:lang w:val="de-DE"/>
        </w:rPr>
        <w:t>Tel.: +49 5231/14-292322</w:t>
      </w:r>
    </w:p>
    <w:p w14:paraId="0CB6F8A2" w14:textId="77777777" w:rsidR="00960747" w:rsidRPr="00D61989" w:rsidRDefault="00960747" w:rsidP="00960747">
      <w:pPr>
        <w:tabs>
          <w:tab w:val="left" w:pos="1134"/>
        </w:tabs>
        <w:spacing w:line="360" w:lineRule="auto"/>
        <w:jc w:val="both"/>
        <w:rPr>
          <w:sz w:val="20"/>
          <w:szCs w:val="22"/>
          <w:lang w:val="de-DE"/>
        </w:rPr>
      </w:pPr>
      <w:r w:rsidRPr="00D61989">
        <w:rPr>
          <w:sz w:val="20"/>
          <w:lang w:val="de-DE"/>
        </w:rPr>
        <w:tab/>
      </w:r>
      <w:r w:rsidRPr="00D61989">
        <w:rPr>
          <w:sz w:val="20"/>
          <w:lang w:val="de-DE"/>
        </w:rPr>
        <w:tab/>
      </w:r>
      <w:r w:rsidRPr="00D61989">
        <w:rPr>
          <w:sz w:val="20"/>
          <w:lang w:val="de-DE"/>
        </w:rPr>
        <w:tab/>
      </w:r>
      <w:proofErr w:type="spellStart"/>
      <w:r w:rsidRPr="00D61989">
        <w:rPr>
          <w:sz w:val="20"/>
          <w:lang w:val="de-DE"/>
        </w:rPr>
        <w:t>E-mail</w:t>
      </w:r>
      <w:proofErr w:type="spellEnd"/>
      <w:r w:rsidRPr="00D61989">
        <w:rPr>
          <w:sz w:val="20"/>
          <w:lang w:val="de-DE"/>
        </w:rPr>
        <w:t>: presse@weidmueller.com</w:t>
      </w:r>
    </w:p>
    <w:p w14:paraId="626D12DA" w14:textId="77777777" w:rsidR="00953E85" w:rsidRPr="005B12B9" w:rsidRDefault="00953E85" w:rsidP="00960747">
      <w:pPr>
        <w:pStyle w:val="StandardAH"/>
        <w:ind w:right="-26"/>
        <w:outlineLvl w:val="0"/>
        <w:rPr>
          <w:sz w:val="20"/>
          <w:szCs w:val="22"/>
          <w:lang w:val="de-DE"/>
        </w:rPr>
      </w:pPr>
    </w:p>
    <w:sectPr w:rsidR="00953E85" w:rsidRPr="005B12B9" w:rsidSect="002D1AF5">
      <w:headerReference w:type="default" r:id="rId8"/>
      <w:footerReference w:type="default" r:id="rId9"/>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AE6D9" w14:textId="77777777" w:rsidR="000A383B" w:rsidRDefault="000A383B">
      <w:r>
        <w:separator/>
      </w:r>
    </w:p>
  </w:endnote>
  <w:endnote w:type="continuationSeparator" w:id="0">
    <w:p w14:paraId="21C79345" w14:textId="77777777" w:rsidR="000A383B" w:rsidRDefault="000A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Narrow">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ABB6" w14:textId="77777777" w:rsidR="00F829AE" w:rsidRDefault="00F829AE" w:rsidP="009D6AB0">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C2143" w14:textId="77777777" w:rsidR="000A383B" w:rsidRDefault="000A383B">
      <w:r>
        <w:separator/>
      </w:r>
    </w:p>
  </w:footnote>
  <w:footnote w:type="continuationSeparator" w:id="0">
    <w:p w14:paraId="08BD0FE5" w14:textId="77777777" w:rsidR="000A383B" w:rsidRDefault="000A3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CA16" w14:textId="29FCE91D" w:rsidR="006753FA" w:rsidRDefault="006753FA" w:rsidP="006753FA">
    <w:pPr>
      <w:pStyle w:val="Kopfzeile"/>
      <w:tabs>
        <w:tab w:val="right" w:pos="9922"/>
        <w:tab w:val="right" w:pos="10348"/>
      </w:tabs>
      <w:ind w:right="-1"/>
      <w:rPr>
        <w:rFonts w:cs="Arial"/>
        <w:sz w:val="18"/>
      </w:rPr>
    </w:pPr>
    <w:r>
      <w:rPr>
        <w:noProof/>
        <w:sz w:val="28"/>
        <w:lang w:eastAsia="en-GB"/>
      </w:rPr>
      <w:drawing>
        <wp:anchor distT="0" distB="0" distL="114300" distR="114300" simplePos="0" relativeHeight="251668992" behindDoc="1" locked="0" layoutInCell="1" allowOverlap="1" wp14:anchorId="7AA81C77" wp14:editId="1E58F825">
          <wp:simplePos x="0" y="0"/>
          <wp:positionH relativeFrom="margin">
            <wp:align>right</wp:align>
          </wp:positionH>
          <wp:positionV relativeFrom="paragraph">
            <wp:posOffset>4445</wp:posOffset>
          </wp:positionV>
          <wp:extent cx="1706880" cy="34163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OB_RGB.png"/>
                  <pic:cNvPicPr/>
                </pic:nvPicPr>
                <pic:blipFill>
                  <a:blip r:embed="rId1">
                    <a:extLst>
                      <a:ext uri="{28A0092B-C50C-407E-A947-70E740481C1C}">
                        <a14:useLocalDpi xmlns:a14="http://schemas.microsoft.com/office/drawing/2010/main" val="0"/>
                      </a:ext>
                    </a:extLst>
                  </a:blip>
                  <a:stretch>
                    <a:fillRect/>
                  </a:stretch>
                </pic:blipFill>
                <pic:spPr>
                  <a:xfrm>
                    <a:off x="0" y="0"/>
                    <a:ext cx="1706880" cy="341630"/>
                  </a:xfrm>
                  <a:prstGeom prst="rect">
                    <a:avLst/>
                  </a:prstGeom>
                </pic:spPr>
              </pic:pic>
            </a:graphicData>
          </a:graphic>
        </wp:anchor>
      </w:drawing>
    </w:r>
    <w:bookmarkStart w:id="1" w:name="_Hlk17969559"/>
    <w:r>
      <w:rPr>
        <w:sz w:val="28"/>
      </w:rPr>
      <w:t>Press Release</w:t>
    </w:r>
    <w:bookmarkEnd w:id="1"/>
    <w:r>
      <w:rPr>
        <w:sz w:val="36"/>
      </w:rPr>
      <w:br/>
    </w:r>
    <w:r>
      <w:rPr>
        <w:sz w:val="18"/>
      </w:rPr>
      <w:t xml:space="preserve">Page: </w:t>
    </w:r>
    <w:r w:rsidRPr="008C62DF">
      <w:rPr>
        <w:rFonts w:cs="Arial"/>
        <w:sz w:val="18"/>
      </w:rPr>
      <w:fldChar w:fldCharType="begin"/>
    </w:r>
    <w:r w:rsidRPr="008C62DF">
      <w:rPr>
        <w:rFonts w:cs="Arial"/>
        <w:sz w:val="18"/>
      </w:rPr>
      <w:instrText>PAGE \* ARABIC</w:instrText>
    </w:r>
    <w:r w:rsidRPr="008C62DF">
      <w:rPr>
        <w:rFonts w:cs="Arial"/>
        <w:sz w:val="18"/>
      </w:rPr>
      <w:fldChar w:fldCharType="separate"/>
    </w:r>
    <w:r w:rsidR="004173DE">
      <w:rPr>
        <w:rFonts w:cs="Arial"/>
        <w:noProof/>
        <w:sz w:val="18"/>
      </w:rPr>
      <w:t>5</w:t>
    </w:r>
    <w:r w:rsidRPr="008C62DF">
      <w:rPr>
        <w:rFonts w:cs="Arial"/>
        <w:sz w:val="18"/>
      </w:rPr>
      <w:fldChar w:fldCharType="end"/>
    </w:r>
    <w:r>
      <w:rPr>
        <w:sz w:val="18"/>
      </w:rPr>
      <w:t>/</w:t>
    </w:r>
    <w:r w:rsidRPr="008C62DF">
      <w:rPr>
        <w:rFonts w:cs="Arial"/>
        <w:sz w:val="18"/>
      </w:rPr>
      <w:fldChar w:fldCharType="begin"/>
    </w:r>
    <w:r w:rsidRPr="008C62DF">
      <w:rPr>
        <w:rFonts w:cs="Arial"/>
        <w:sz w:val="18"/>
      </w:rPr>
      <w:instrText xml:space="preserve">NUMPAGES </w:instrText>
    </w:r>
    <w:r w:rsidRPr="008C62DF">
      <w:rPr>
        <w:rFonts w:cs="Arial"/>
        <w:sz w:val="18"/>
      </w:rPr>
      <w:fldChar w:fldCharType="separate"/>
    </w:r>
    <w:r w:rsidR="004173DE">
      <w:rPr>
        <w:rFonts w:cs="Arial"/>
        <w:noProof/>
        <w:sz w:val="18"/>
      </w:rPr>
      <w:t>5</w:t>
    </w:r>
    <w:r w:rsidRPr="008C62DF">
      <w:rPr>
        <w:rFonts w:cs="Arial"/>
        <w:sz w:val="18"/>
      </w:rPr>
      <w:fldChar w:fldCharType="end"/>
    </w:r>
  </w:p>
  <w:p w14:paraId="6AA0AA25" w14:textId="77777777" w:rsidR="006753FA" w:rsidRPr="008C62DF" w:rsidRDefault="006753FA" w:rsidP="006753FA">
    <w:pPr>
      <w:pStyle w:val="Kopfzeile"/>
      <w:tabs>
        <w:tab w:val="right" w:pos="9922"/>
        <w:tab w:val="right" w:pos="10348"/>
      </w:tabs>
      <w:ind w:right="-1"/>
      <w:rPr>
        <w:rFonts w:cs="Arial"/>
        <w:position w:val="16"/>
        <w:sz w:val="36"/>
      </w:rPr>
    </w:pPr>
  </w:p>
  <w:p w14:paraId="30AC4CE5" w14:textId="77777777" w:rsidR="00F829AE" w:rsidRPr="006753FA" w:rsidRDefault="00F829AE" w:rsidP="006753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
  </w:num>
  <w:num w:numId="4">
    <w:abstractNumId w:val="7"/>
  </w:num>
  <w:num w:numId="5">
    <w:abstractNumId w:val="10"/>
  </w:num>
  <w:num w:numId="6">
    <w:abstractNumId w:val="5"/>
  </w:num>
  <w:num w:numId="7">
    <w:abstractNumId w:val="9"/>
  </w:num>
  <w:num w:numId="8">
    <w:abstractNumId w:val="11"/>
  </w:num>
  <w:num w:numId="9">
    <w:abstractNumId w:val="8"/>
  </w:num>
  <w:num w:numId="10">
    <w:abstractNumId w:val="4"/>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30"/>
    <w:rsid w:val="00000B7D"/>
    <w:rsid w:val="0000158F"/>
    <w:rsid w:val="00003371"/>
    <w:rsid w:val="00004CCF"/>
    <w:rsid w:val="000057CE"/>
    <w:rsid w:val="0000701B"/>
    <w:rsid w:val="00012257"/>
    <w:rsid w:val="00013CB8"/>
    <w:rsid w:val="0001518B"/>
    <w:rsid w:val="00017273"/>
    <w:rsid w:val="000179EB"/>
    <w:rsid w:val="00021549"/>
    <w:rsid w:val="000227E9"/>
    <w:rsid w:val="00023F8B"/>
    <w:rsid w:val="00026E27"/>
    <w:rsid w:val="00027A70"/>
    <w:rsid w:val="000314DF"/>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83B"/>
    <w:rsid w:val="000A3D49"/>
    <w:rsid w:val="000A5A6A"/>
    <w:rsid w:val="000A6046"/>
    <w:rsid w:val="000A7CD8"/>
    <w:rsid w:val="000A7E05"/>
    <w:rsid w:val="000B0451"/>
    <w:rsid w:val="000B189F"/>
    <w:rsid w:val="000B4AAD"/>
    <w:rsid w:val="000B5E6F"/>
    <w:rsid w:val="000C497A"/>
    <w:rsid w:val="000C54B0"/>
    <w:rsid w:val="000D4164"/>
    <w:rsid w:val="000D580F"/>
    <w:rsid w:val="000D5B72"/>
    <w:rsid w:val="000D74E4"/>
    <w:rsid w:val="000D7CCB"/>
    <w:rsid w:val="000E0642"/>
    <w:rsid w:val="000E3118"/>
    <w:rsid w:val="000F0163"/>
    <w:rsid w:val="000F0532"/>
    <w:rsid w:val="000F09CB"/>
    <w:rsid w:val="000F1327"/>
    <w:rsid w:val="000F23E2"/>
    <w:rsid w:val="000F2430"/>
    <w:rsid w:val="00101BE7"/>
    <w:rsid w:val="00102309"/>
    <w:rsid w:val="00102448"/>
    <w:rsid w:val="00103384"/>
    <w:rsid w:val="001039AC"/>
    <w:rsid w:val="0010439A"/>
    <w:rsid w:val="001078C7"/>
    <w:rsid w:val="00117EAA"/>
    <w:rsid w:val="00120244"/>
    <w:rsid w:val="001217C0"/>
    <w:rsid w:val="00122555"/>
    <w:rsid w:val="00123CD3"/>
    <w:rsid w:val="0012567B"/>
    <w:rsid w:val="001304E4"/>
    <w:rsid w:val="0013062C"/>
    <w:rsid w:val="001313B2"/>
    <w:rsid w:val="00132236"/>
    <w:rsid w:val="00132890"/>
    <w:rsid w:val="00133D69"/>
    <w:rsid w:val="00137D2B"/>
    <w:rsid w:val="001426F9"/>
    <w:rsid w:val="001456A7"/>
    <w:rsid w:val="00150C8E"/>
    <w:rsid w:val="00152C62"/>
    <w:rsid w:val="0015362B"/>
    <w:rsid w:val="0015406B"/>
    <w:rsid w:val="00155711"/>
    <w:rsid w:val="001610C4"/>
    <w:rsid w:val="00164D21"/>
    <w:rsid w:val="001716DA"/>
    <w:rsid w:val="00173115"/>
    <w:rsid w:val="00174884"/>
    <w:rsid w:val="00174F44"/>
    <w:rsid w:val="001775EB"/>
    <w:rsid w:val="0018130D"/>
    <w:rsid w:val="00183774"/>
    <w:rsid w:val="0018718A"/>
    <w:rsid w:val="00190C40"/>
    <w:rsid w:val="0019319D"/>
    <w:rsid w:val="00195798"/>
    <w:rsid w:val="00197E3A"/>
    <w:rsid w:val="001A1A69"/>
    <w:rsid w:val="001A258A"/>
    <w:rsid w:val="001A743C"/>
    <w:rsid w:val="001B4C08"/>
    <w:rsid w:val="001B77A6"/>
    <w:rsid w:val="001B7BED"/>
    <w:rsid w:val="001D0A1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72"/>
    <w:rsid w:val="002034F3"/>
    <w:rsid w:val="002040A5"/>
    <w:rsid w:val="00204E8C"/>
    <w:rsid w:val="00206AD9"/>
    <w:rsid w:val="00207A89"/>
    <w:rsid w:val="002113BF"/>
    <w:rsid w:val="00212017"/>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326"/>
    <w:rsid w:val="00245583"/>
    <w:rsid w:val="00247301"/>
    <w:rsid w:val="002511BA"/>
    <w:rsid w:val="00252D03"/>
    <w:rsid w:val="00261C8A"/>
    <w:rsid w:val="00275EB6"/>
    <w:rsid w:val="002766F3"/>
    <w:rsid w:val="00276D38"/>
    <w:rsid w:val="00277F47"/>
    <w:rsid w:val="00281F5C"/>
    <w:rsid w:val="0028742B"/>
    <w:rsid w:val="0029023D"/>
    <w:rsid w:val="00290480"/>
    <w:rsid w:val="0029313C"/>
    <w:rsid w:val="00293F75"/>
    <w:rsid w:val="00295C07"/>
    <w:rsid w:val="00296D1B"/>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F1407"/>
    <w:rsid w:val="002F17C8"/>
    <w:rsid w:val="002F4871"/>
    <w:rsid w:val="002F7AC8"/>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3E55"/>
    <w:rsid w:val="00374B46"/>
    <w:rsid w:val="0037540B"/>
    <w:rsid w:val="003767D5"/>
    <w:rsid w:val="00381A1D"/>
    <w:rsid w:val="0038261F"/>
    <w:rsid w:val="003829A7"/>
    <w:rsid w:val="003908CB"/>
    <w:rsid w:val="003923BA"/>
    <w:rsid w:val="00394B15"/>
    <w:rsid w:val="003A2492"/>
    <w:rsid w:val="003A2B95"/>
    <w:rsid w:val="003A2D4E"/>
    <w:rsid w:val="003A5204"/>
    <w:rsid w:val="003A5A01"/>
    <w:rsid w:val="003B2BCA"/>
    <w:rsid w:val="003B511D"/>
    <w:rsid w:val="003B6345"/>
    <w:rsid w:val="003C1C50"/>
    <w:rsid w:val="003C2E33"/>
    <w:rsid w:val="003D06EA"/>
    <w:rsid w:val="003D12EB"/>
    <w:rsid w:val="003D15C8"/>
    <w:rsid w:val="003D17D4"/>
    <w:rsid w:val="003D1C00"/>
    <w:rsid w:val="003D73A2"/>
    <w:rsid w:val="003E0332"/>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799"/>
    <w:rsid w:val="0040539F"/>
    <w:rsid w:val="00406761"/>
    <w:rsid w:val="004076EF"/>
    <w:rsid w:val="004161D7"/>
    <w:rsid w:val="00416ACB"/>
    <w:rsid w:val="004173DE"/>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371F"/>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0B1"/>
    <w:rsid w:val="00595B0F"/>
    <w:rsid w:val="005965B3"/>
    <w:rsid w:val="00597442"/>
    <w:rsid w:val="005A26AE"/>
    <w:rsid w:val="005A2885"/>
    <w:rsid w:val="005A3497"/>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4FD8"/>
    <w:rsid w:val="005D524A"/>
    <w:rsid w:val="005D5949"/>
    <w:rsid w:val="005D62F1"/>
    <w:rsid w:val="005D74D6"/>
    <w:rsid w:val="005D750F"/>
    <w:rsid w:val="005E089D"/>
    <w:rsid w:val="005E1C75"/>
    <w:rsid w:val="005E5068"/>
    <w:rsid w:val="005E6514"/>
    <w:rsid w:val="005F03CB"/>
    <w:rsid w:val="005F2681"/>
    <w:rsid w:val="005F31B2"/>
    <w:rsid w:val="005F75E8"/>
    <w:rsid w:val="005F7A14"/>
    <w:rsid w:val="00601E4C"/>
    <w:rsid w:val="00602389"/>
    <w:rsid w:val="00602CC3"/>
    <w:rsid w:val="00607ABE"/>
    <w:rsid w:val="0061036A"/>
    <w:rsid w:val="00610D57"/>
    <w:rsid w:val="00610F09"/>
    <w:rsid w:val="00611F65"/>
    <w:rsid w:val="00612DE1"/>
    <w:rsid w:val="00612FBB"/>
    <w:rsid w:val="00613843"/>
    <w:rsid w:val="00613C31"/>
    <w:rsid w:val="00615069"/>
    <w:rsid w:val="00615895"/>
    <w:rsid w:val="00616661"/>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3FA"/>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5082"/>
    <w:rsid w:val="00737CD1"/>
    <w:rsid w:val="00741A8D"/>
    <w:rsid w:val="0074230D"/>
    <w:rsid w:val="0075436A"/>
    <w:rsid w:val="00755D6E"/>
    <w:rsid w:val="007566B1"/>
    <w:rsid w:val="0076034C"/>
    <w:rsid w:val="007622FF"/>
    <w:rsid w:val="00764F53"/>
    <w:rsid w:val="007664F8"/>
    <w:rsid w:val="00767DD0"/>
    <w:rsid w:val="00770378"/>
    <w:rsid w:val="00771085"/>
    <w:rsid w:val="00772A65"/>
    <w:rsid w:val="00772DC8"/>
    <w:rsid w:val="0077330A"/>
    <w:rsid w:val="00773954"/>
    <w:rsid w:val="007757AE"/>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332A"/>
    <w:rsid w:val="008745D4"/>
    <w:rsid w:val="00874CCE"/>
    <w:rsid w:val="0087649E"/>
    <w:rsid w:val="00876B31"/>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3E85"/>
    <w:rsid w:val="009545A4"/>
    <w:rsid w:val="0095581A"/>
    <w:rsid w:val="009566B7"/>
    <w:rsid w:val="00960666"/>
    <w:rsid w:val="00960747"/>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797C"/>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6A36"/>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56EE6"/>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055A"/>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A38"/>
    <w:rsid w:val="00B11F0E"/>
    <w:rsid w:val="00B12120"/>
    <w:rsid w:val="00B134B4"/>
    <w:rsid w:val="00B15929"/>
    <w:rsid w:val="00B177D7"/>
    <w:rsid w:val="00B1780F"/>
    <w:rsid w:val="00B20284"/>
    <w:rsid w:val="00B20EBD"/>
    <w:rsid w:val="00B23E80"/>
    <w:rsid w:val="00B250D0"/>
    <w:rsid w:val="00B2733B"/>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D56C1"/>
    <w:rsid w:val="00BE4DFA"/>
    <w:rsid w:val="00BE6F2E"/>
    <w:rsid w:val="00BF0372"/>
    <w:rsid w:val="00BF1FD6"/>
    <w:rsid w:val="00BF2A33"/>
    <w:rsid w:val="00BF6177"/>
    <w:rsid w:val="00BF7261"/>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2247"/>
    <w:rsid w:val="00C4283A"/>
    <w:rsid w:val="00C44966"/>
    <w:rsid w:val="00C45461"/>
    <w:rsid w:val="00C47DF3"/>
    <w:rsid w:val="00C5191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5426"/>
    <w:rsid w:val="00D05928"/>
    <w:rsid w:val="00D11881"/>
    <w:rsid w:val="00D11F74"/>
    <w:rsid w:val="00D1518D"/>
    <w:rsid w:val="00D15F34"/>
    <w:rsid w:val="00D165B4"/>
    <w:rsid w:val="00D17097"/>
    <w:rsid w:val="00D24300"/>
    <w:rsid w:val="00D24690"/>
    <w:rsid w:val="00D273B3"/>
    <w:rsid w:val="00D3029E"/>
    <w:rsid w:val="00D311BE"/>
    <w:rsid w:val="00D3202B"/>
    <w:rsid w:val="00D3476C"/>
    <w:rsid w:val="00D40EB7"/>
    <w:rsid w:val="00D44794"/>
    <w:rsid w:val="00D51862"/>
    <w:rsid w:val="00D52BA0"/>
    <w:rsid w:val="00D56C7B"/>
    <w:rsid w:val="00D60EF3"/>
    <w:rsid w:val="00D60F6D"/>
    <w:rsid w:val="00D61989"/>
    <w:rsid w:val="00D61B7B"/>
    <w:rsid w:val="00D61C8F"/>
    <w:rsid w:val="00D623D4"/>
    <w:rsid w:val="00D65714"/>
    <w:rsid w:val="00D71610"/>
    <w:rsid w:val="00D71D1B"/>
    <w:rsid w:val="00D72E7D"/>
    <w:rsid w:val="00D73017"/>
    <w:rsid w:val="00D83428"/>
    <w:rsid w:val="00D83DB5"/>
    <w:rsid w:val="00D8515A"/>
    <w:rsid w:val="00D867A2"/>
    <w:rsid w:val="00D87158"/>
    <w:rsid w:val="00D94D27"/>
    <w:rsid w:val="00D96A4E"/>
    <w:rsid w:val="00DA08C8"/>
    <w:rsid w:val="00DA2C5A"/>
    <w:rsid w:val="00DA5E12"/>
    <w:rsid w:val="00DA6ADD"/>
    <w:rsid w:val="00DA72F4"/>
    <w:rsid w:val="00DB3C8D"/>
    <w:rsid w:val="00DB4997"/>
    <w:rsid w:val="00DB58FA"/>
    <w:rsid w:val="00DB6CB0"/>
    <w:rsid w:val="00DB7126"/>
    <w:rsid w:val="00DC0133"/>
    <w:rsid w:val="00DC1ECE"/>
    <w:rsid w:val="00DC2CFF"/>
    <w:rsid w:val="00DC4A5D"/>
    <w:rsid w:val="00DC6018"/>
    <w:rsid w:val="00DD173F"/>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4C2"/>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E1004"/>
    <w:rsid w:val="00EE1FD0"/>
    <w:rsid w:val="00EE2A04"/>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74CB"/>
    <w:rsid w:val="00F32FF0"/>
    <w:rsid w:val="00F33CD5"/>
    <w:rsid w:val="00F34F78"/>
    <w:rsid w:val="00F35089"/>
    <w:rsid w:val="00F370EE"/>
    <w:rsid w:val="00F42D80"/>
    <w:rsid w:val="00F42F1D"/>
    <w:rsid w:val="00F43D19"/>
    <w:rsid w:val="00F448E3"/>
    <w:rsid w:val="00F454C1"/>
    <w:rsid w:val="00F46D1C"/>
    <w:rsid w:val="00F55062"/>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90F5B"/>
    <w:rsid w:val="00FA2AAE"/>
    <w:rsid w:val="00FA3C6D"/>
    <w:rsid w:val="00FA522E"/>
    <w:rsid w:val="00FB7BB3"/>
    <w:rsid w:val="00FC0E79"/>
    <w:rsid w:val="00FC14BB"/>
    <w:rsid w:val="00FC5E57"/>
    <w:rsid w:val="00FD4C76"/>
    <w:rsid w:val="00FD6588"/>
    <w:rsid w:val="00FD70EE"/>
    <w:rsid w:val="00FE0ACE"/>
    <w:rsid w:val="00FE511E"/>
    <w:rsid w:val="00FE6A79"/>
    <w:rsid w:val="00FE6F25"/>
    <w:rsid w:val="00FF1F7C"/>
    <w:rsid w:val="00FF2D8F"/>
    <w:rsid w:val="00FF4230"/>
    <w:rsid w:val="00FF71C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7E3575"/>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uiPriority w:val="99"/>
    <w:rsid w:val="006A1BE6"/>
    <w:rPr>
      <w:rFonts w:ascii="Arial" w:hAnsi="Arial"/>
      <w:sz w:val="22"/>
    </w:rPr>
  </w:style>
  <w:style w:type="character" w:customStyle="1" w:styleId="NichtaufgelsteErwhnung1">
    <w:name w:val="Nicht aufgelöste Erwähnung1"/>
    <w:basedOn w:val="Absatz-Standardschriftart"/>
    <w:uiPriority w:val="99"/>
    <w:semiHidden/>
    <w:unhideWhenUsed/>
    <w:rsid w:val="00953E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725971">
      <w:bodyDiv w:val="1"/>
      <w:marLeft w:val="0"/>
      <w:marRight w:val="0"/>
      <w:marTop w:val="0"/>
      <w:marBottom w:val="0"/>
      <w:divBdr>
        <w:top w:val="none" w:sz="0" w:space="0" w:color="auto"/>
        <w:left w:val="none" w:sz="0" w:space="0" w:color="auto"/>
        <w:bottom w:val="none" w:sz="0" w:space="0" w:color="auto"/>
        <w:right w:val="none" w:sz="0" w:space="0" w:color="auto"/>
      </w:divBdr>
      <w:divsChild>
        <w:div w:id="1867139635">
          <w:marLeft w:val="0"/>
          <w:marRight w:val="0"/>
          <w:marTop w:val="0"/>
          <w:marBottom w:val="0"/>
          <w:divBdr>
            <w:top w:val="none" w:sz="0" w:space="0" w:color="auto"/>
            <w:left w:val="none" w:sz="0" w:space="0" w:color="auto"/>
            <w:bottom w:val="none" w:sz="0" w:space="0" w:color="auto"/>
            <w:right w:val="none" w:sz="0" w:space="0" w:color="auto"/>
          </w:divBdr>
          <w:divsChild>
            <w:div w:id="1557158327">
              <w:marLeft w:val="0"/>
              <w:marRight w:val="0"/>
              <w:marTop w:val="90"/>
              <w:marBottom w:val="0"/>
              <w:divBdr>
                <w:top w:val="none" w:sz="0" w:space="0" w:color="auto"/>
                <w:left w:val="none" w:sz="0" w:space="0" w:color="auto"/>
                <w:bottom w:val="none" w:sz="0" w:space="0" w:color="auto"/>
                <w:right w:val="none" w:sz="0" w:space="0" w:color="auto"/>
              </w:divBdr>
              <w:divsChild>
                <w:div w:id="1704018854">
                  <w:marLeft w:val="0"/>
                  <w:marRight w:val="0"/>
                  <w:marTop w:val="0"/>
                  <w:marBottom w:val="0"/>
                  <w:divBdr>
                    <w:top w:val="none" w:sz="0" w:space="0" w:color="auto"/>
                    <w:left w:val="none" w:sz="0" w:space="0" w:color="auto"/>
                    <w:bottom w:val="none" w:sz="0" w:space="0" w:color="auto"/>
                    <w:right w:val="none" w:sz="0" w:space="0" w:color="auto"/>
                  </w:divBdr>
                  <w:divsChild>
                    <w:div w:id="848832681">
                      <w:marLeft w:val="0"/>
                      <w:marRight w:val="0"/>
                      <w:marTop w:val="0"/>
                      <w:marBottom w:val="0"/>
                      <w:divBdr>
                        <w:top w:val="none" w:sz="0" w:space="0" w:color="auto"/>
                        <w:left w:val="none" w:sz="0" w:space="0" w:color="auto"/>
                        <w:bottom w:val="none" w:sz="0" w:space="0" w:color="auto"/>
                        <w:right w:val="none" w:sz="0" w:space="0" w:color="auto"/>
                      </w:divBdr>
                      <w:divsChild>
                        <w:div w:id="683170847">
                          <w:marLeft w:val="0"/>
                          <w:marRight w:val="0"/>
                          <w:marTop w:val="0"/>
                          <w:marBottom w:val="0"/>
                          <w:divBdr>
                            <w:top w:val="none" w:sz="0" w:space="0" w:color="auto"/>
                            <w:left w:val="none" w:sz="0" w:space="0" w:color="auto"/>
                            <w:bottom w:val="none" w:sz="0" w:space="0" w:color="auto"/>
                            <w:right w:val="none" w:sz="0" w:space="0" w:color="auto"/>
                          </w:divBdr>
                          <w:divsChild>
                            <w:div w:id="386029685">
                              <w:marLeft w:val="0"/>
                              <w:marRight w:val="0"/>
                              <w:marTop w:val="0"/>
                              <w:marBottom w:val="0"/>
                              <w:divBdr>
                                <w:top w:val="none" w:sz="0" w:space="0" w:color="auto"/>
                                <w:left w:val="none" w:sz="0" w:space="0" w:color="auto"/>
                                <w:bottom w:val="none" w:sz="0" w:space="0" w:color="auto"/>
                                <w:right w:val="none" w:sz="0" w:space="0" w:color="auto"/>
                              </w:divBdr>
                              <w:divsChild>
                                <w:div w:id="514543225">
                                  <w:marLeft w:val="0"/>
                                  <w:marRight w:val="0"/>
                                  <w:marTop w:val="0"/>
                                  <w:marBottom w:val="0"/>
                                  <w:divBdr>
                                    <w:top w:val="none" w:sz="0" w:space="0" w:color="auto"/>
                                    <w:left w:val="none" w:sz="0" w:space="0" w:color="auto"/>
                                    <w:bottom w:val="none" w:sz="0" w:space="0" w:color="auto"/>
                                    <w:right w:val="none" w:sz="0" w:space="0" w:color="auto"/>
                                  </w:divBdr>
                                  <w:divsChild>
                                    <w:div w:id="1069424623">
                                      <w:marLeft w:val="0"/>
                                      <w:marRight w:val="0"/>
                                      <w:marTop w:val="0"/>
                                      <w:marBottom w:val="195"/>
                                      <w:divBdr>
                                        <w:top w:val="none" w:sz="0" w:space="0" w:color="auto"/>
                                        <w:left w:val="none" w:sz="0" w:space="0" w:color="auto"/>
                                        <w:bottom w:val="none" w:sz="0" w:space="0" w:color="auto"/>
                                        <w:right w:val="none" w:sz="0" w:space="0" w:color="auto"/>
                                      </w:divBdr>
                                      <w:divsChild>
                                        <w:div w:id="8767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2" ma:contentTypeDescription="Ein neues Dokument erstellen." ma:contentTypeScope="" ma:versionID="72eaa18de2688311262b74c1aca7b4ea">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f98fd093fef1a9a0777c1da29cfbadb1"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81EB6-F9F8-4ACD-B853-9C677BC50C91}">
  <ds:schemaRefs>
    <ds:schemaRef ds:uri="http://schemas.openxmlformats.org/officeDocument/2006/bibliography"/>
  </ds:schemaRefs>
</ds:datastoreItem>
</file>

<file path=customXml/itemProps2.xml><?xml version="1.0" encoding="utf-8"?>
<ds:datastoreItem xmlns:ds="http://schemas.openxmlformats.org/officeDocument/2006/customXml" ds:itemID="{407C1792-1AC6-44B0-82E8-9AA8C5AF020E}"/>
</file>

<file path=customXml/itemProps3.xml><?xml version="1.0" encoding="utf-8"?>
<ds:datastoreItem xmlns:ds="http://schemas.openxmlformats.org/officeDocument/2006/customXml" ds:itemID="{66BC3E3F-0EAC-4C2C-B3BC-7B405783E1C2}"/>
</file>

<file path=customXml/itemProps4.xml><?xml version="1.0" encoding="utf-8"?>
<ds:datastoreItem xmlns:ds="http://schemas.openxmlformats.org/officeDocument/2006/customXml" ds:itemID="{D6B0A440-21B5-44D3-9A04-A207C3105C88}"/>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4935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English press release template</vt:lpstr>
    </vt:vector>
  </TitlesOfParts>
  <Company>Weidmüller Holding</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press release template</dc:title>
  <dc:creator>Ingmar Remus</dc:creator>
  <cp:lastModifiedBy>Lödige, Silke</cp:lastModifiedBy>
  <cp:revision>2</cp:revision>
  <cp:lastPrinted>2018-03-05T14:44:00Z</cp:lastPrinted>
  <dcterms:created xsi:type="dcterms:W3CDTF">2021-04-12T06:45:00Z</dcterms:created>
  <dcterms:modified xsi:type="dcterms:W3CDTF">2021-04-12T06:45:00Z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