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08E6" w14:textId="2B3FCA53" w:rsidR="00607C70" w:rsidRPr="00BA240E" w:rsidRDefault="00607C70" w:rsidP="00BD78C8">
      <w:pPr>
        <w:spacing w:line="360" w:lineRule="auto"/>
        <w:rPr>
          <w:rFonts w:asciiTheme="minorBidi" w:eastAsia="Arial" w:hAnsiTheme="minorBidi"/>
          <w:color w:val="000000" w:themeColor="text1"/>
          <w:sz w:val="32"/>
          <w:szCs w:val="32"/>
        </w:rPr>
      </w:pPr>
      <w:r w:rsidRPr="00607C70">
        <w:rPr>
          <w:b/>
          <w:color w:val="000000" w:themeColor="text1"/>
        </w:rPr>
        <w:t>Networking down to the smallest variable</w:t>
      </w:r>
    </w:p>
    <w:p w14:paraId="51015F85" w14:textId="043B1F9F" w:rsidR="001F383B" w:rsidRPr="009D7901" w:rsidRDefault="001F383B" w:rsidP="00BD78C8">
      <w:pPr>
        <w:spacing w:line="360" w:lineRule="auto"/>
        <w:rPr>
          <w:rFonts w:eastAsia="Calibri" w:cs="Arial"/>
          <w:b/>
          <w:bCs/>
          <w:color w:val="000000" w:themeColor="text1"/>
          <w:szCs w:val="22"/>
        </w:rPr>
      </w:pPr>
    </w:p>
    <w:p w14:paraId="2CC7F533" w14:textId="77777777" w:rsidR="00907017" w:rsidRPr="00BA240E" w:rsidRDefault="00907017" w:rsidP="00BD78C8">
      <w:pPr>
        <w:spacing w:line="360" w:lineRule="auto"/>
        <w:rPr>
          <w:rFonts w:asciiTheme="minorBidi" w:eastAsia="Arial" w:hAnsiTheme="minorBidi"/>
          <w:color w:val="000000" w:themeColor="text1"/>
        </w:rPr>
      </w:pPr>
      <w:r w:rsidRPr="00BA240E">
        <w:rPr>
          <w:rFonts w:asciiTheme="minorBidi" w:hAnsiTheme="minorBidi"/>
          <w:color w:val="000000" w:themeColor="text1"/>
        </w:rPr>
        <w:t>The u-OS Data Hub from Weidmüller simplifies collaboration between different apps</w:t>
      </w:r>
    </w:p>
    <w:p w14:paraId="2C3A6830" w14:textId="77777777" w:rsidR="009D7901" w:rsidRDefault="009D7901" w:rsidP="00BD78C8">
      <w:pPr>
        <w:spacing w:line="360" w:lineRule="auto"/>
        <w:jc w:val="both"/>
        <w:rPr>
          <w:rFonts w:eastAsia="Arial" w:cs="Arial"/>
          <w:color w:val="000000" w:themeColor="text1"/>
          <w:szCs w:val="22"/>
        </w:rPr>
      </w:pPr>
    </w:p>
    <w:p w14:paraId="03839CA0" w14:textId="77777777" w:rsidR="00985AD9" w:rsidRPr="00985AD9" w:rsidRDefault="00985AD9" w:rsidP="00BD78C8">
      <w:pPr>
        <w:spacing w:line="360" w:lineRule="auto"/>
        <w:rPr>
          <w:rFonts w:eastAsia="Arial" w:cs="Arial"/>
          <w:i/>
          <w:color w:val="000000" w:themeColor="text1"/>
          <w:szCs w:val="22"/>
        </w:rPr>
      </w:pPr>
      <w:r w:rsidRPr="00985AD9">
        <w:rPr>
          <w:rFonts w:eastAsia="Arial" w:cs="Arial"/>
          <w:i/>
          <w:color w:val="000000" w:themeColor="text1"/>
          <w:szCs w:val="22"/>
        </w:rPr>
        <w:t>Weidmüller is expanding the u-OS operating system with the Data Hub. The Data Hub networks different applications installed on u-OS with one another. This makes it easier for users to make use of variables and make variables from one application visible to another.</w:t>
      </w:r>
    </w:p>
    <w:p w14:paraId="2D9F0C96" w14:textId="77777777" w:rsidR="00DE5F54" w:rsidRDefault="00DE5F54" w:rsidP="00BD78C8">
      <w:pPr>
        <w:spacing w:line="360" w:lineRule="auto"/>
        <w:rPr>
          <w:rFonts w:asciiTheme="minorBidi" w:hAnsiTheme="minorBidi"/>
        </w:rPr>
      </w:pPr>
    </w:p>
    <w:p w14:paraId="6B7A122C" w14:textId="67D691AA" w:rsidR="00DE5F54" w:rsidRPr="00BA240E" w:rsidRDefault="00DE5F54" w:rsidP="00BD78C8">
      <w:pPr>
        <w:spacing w:line="360" w:lineRule="auto"/>
        <w:rPr>
          <w:rFonts w:asciiTheme="minorBidi" w:eastAsia="Arial" w:hAnsiTheme="minorBidi"/>
          <w:color w:val="000000" w:themeColor="text1"/>
        </w:rPr>
      </w:pPr>
      <w:r w:rsidRPr="00BA240E">
        <w:rPr>
          <w:rFonts w:asciiTheme="minorBidi" w:hAnsiTheme="minorBidi"/>
        </w:rPr>
        <w:t>The u-OS Data Hub will be available on the operating system with the update to version 2.2.0.</w:t>
      </w:r>
      <w:r w:rsidRPr="00BA240E">
        <w:rPr>
          <w:rFonts w:asciiTheme="minorBidi" w:hAnsiTheme="minorBidi"/>
          <w:color w:val="000000" w:themeColor="text1"/>
        </w:rPr>
        <w:t xml:space="preserve"> The extension serves as a central location for displaying the installed apps in a clear and manageable format. There, users can network values and make them usable for other applications. </w:t>
      </w:r>
    </w:p>
    <w:p w14:paraId="1F93F664" w14:textId="77777777" w:rsidR="003636A1" w:rsidRPr="003636A1" w:rsidRDefault="003636A1" w:rsidP="00BD78C8">
      <w:pPr>
        <w:spacing w:line="360" w:lineRule="auto"/>
        <w:rPr>
          <w:rFonts w:eastAsia="Arial" w:cs="Arial"/>
          <w:i/>
          <w:color w:val="000000" w:themeColor="text1"/>
          <w:szCs w:val="22"/>
        </w:rPr>
      </w:pPr>
    </w:p>
    <w:p w14:paraId="20C368E2" w14:textId="2E922F56" w:rsidR="00BD78C8" w:rsidRDefault="00BD78C8" w:rsidP="00BD78C8">
      <w:pPr>
        <w:spacing w:line="360" w:lineRule="auto"/>
        <w:rPr>
          <w:rFonts w:asciiTheme="minorBidi" w:hAnsiTheme="minorBidi"/>
          <w:b/>
          <w:color w:val="000000" w:themeColor="text1"/>
        </w:rPr>
      </w:pPr>
      <w:r w:rsidRPr="00BA240E">
        <w:rPr>
          <w:rFonts w:asciiTheme="minorBidi" w:hAnsiTheme="minorBidi"/>
          <w:b/>
          <w:color w:val="000000" w:themeColor="text1"/>
        </w:rPr>
        <w:t>Detailed variable display and management</w:t>
      </w:r>
    </w:p>
    <w:p w14:paraId="335ED93E" w14:textId="77777777" w:rsidR="000C3F5F" w:rsidRDefault="000C3F5F" w:rsidP="00BD78C8">
      <w:pPr>
        <w:spacing w:line="360" w:lineRule="auto"/>
        <w:rPr>
          <w:rFonts w:asciiTheme="minorBidi" w:hAnsiTheme="minorBidi"/>
          <w:color w:val="000000" w:themeColor="text1"/>
        </w:rPr>
      </w:pPr>
    </w:p>
    <w:p w14:paraId="3C2676EB" w14:textId="3F2718F8" w:rsidR="00BD78C8" w:rsidRPr="00BA240E" w:rsidRDefault="00BD78C8" w:rsidP="00BD78C8">
      <w:pPr>
        <w:spacing w:line="360" w:lineRule="auto"/>
        <w:rPr>
          <w:rFonts w:asciiTheme="minorBidi" w:eastAsia="Arial" w:hAnsiTheme="minorBidi"/>
          <w:color w:val="000000" w:themeColor="text1"/>
        </w:rPr>
      </w:pPr>
      <w:r w:rsidRPr="00BA240E">
        <w:rPr>
          <w:rFonts w:asciiTheme="minorBidi" w:hAnsiTheme="minorBidi"/>
          <w:color w:val="000000" w:themeColor="text1"/>
        </w:rPr>
        <w:t>Providers like PROCON-Connect send data points to the Data Hub. PROCON-Connect makes a wide range of drivers available, like the PLC-Handler from CODESYS, a Modbus and OPC UA Client and access to Allen Bradley controllers. The different variables can then be individually selected and provided as data points for the Data H</w:t>
      </w:r>
      <w:r w:rsidR="006B4665">
        <w:rPr>
          <w:rFonts w:asciiTheme="minorBidi" w:hAnsiTheme="minorBidi"/>
          <w:color w:val="000000" w:themeColor="text1"/>
        </w:rPr>
        <w:t>ub</w:t>
      </w:r>
      <w:r w:rsidRPr="00BA240E">
        <w:rPr>
          <w:rFonts w:asciiTheme="minorBidi" w:hAnsiTheme="minorBidi"/>
          <w:color w:val="000000" w:themeColor="text1"/>
        </w:rPr>
        <w:t xml:space="preserve">. This includes whether a value can only be read, or if it can also be written. In addition, the Data Hub displays the value with a time stamp and the data type of the variable. </w:t>
      </w:r>
    </w:p>
    <w:p w14:paraId="75FAA70C" w14:textId="77777777" w:rsidR="000C3F5F" w:rsidRDefault="000C3F5F" w:rsidP="00BD78C8">
      <w:pPr>
        <w:spacing w:line="360" w:lineRule="auto"/>
        <w:rPr>
          <w:rFonts w:asciiTheme="minorBidi" w:hAnsiTheme="minorBidi"/>
          <w:b/>
          <w:color w:val="000000" w:themeColor="text1"/>
        </w:rPr>
      </w:pPr>
    </w:p>
    <w:p w14:paraId="2AACE6BF" w14:textId="6D79D559" w:rsidR="00BD78C8" w:rsidRPr="00BA240E" w:rsidRDefault="00BD78C8" w:rsidP="00BD78C8">
      <w:pPr>
        <w:spacing w:line="360" w:lineRule="auto"/>
        <w:rPr>
          <w:rFonts w:asciiTheme="minorBidi" w:eastAsia="Arial" w:hAnsiTheme="minorBidi"/>
          <w:color w:val="000000" w:themeColor="text1"/>
        </w:rPr>
      </w:pPr>
      <w:r w:rsidRPr="00BA240E">
        <w:rPr>
          <w:rFonts w:asciiTheme="minorBidi" w:hAnsiTheme="minorBidi"/>
          <w:b/>
          <w:color w:val="000000" w:themeColor="text1"/>
        </w:rPr>
        <w:t>Example: Automation with Codesys and NodeRed</w:t>
      </w:r>
    </w:p>
    <w:p w14:paraId="43B4E471" w14:textId="77777777" w:rsidR="000C3F5F" w:rsidRDefault="000C3F5F" w:rsidP="00BD78C8">
      <w:pPr>
        <w:spacing w:line="360" w:lineRule="auto"/>
        <w:rPr>
          <w:rFonts w:asciiTheme="minorBidi" w:hAnsiTheme="minorBidi"/>
          <w:color w:val="000000" w:themeColor="text1"/>
        </w:rPr>
      </w:pPr>
    </w:p>
    <w:p w14:paraId="0F6A22FF" w14:textId="6783BB4A" w:rsidR="000C3F5F" w:rsidRDefault="00BD78C8" w:rsidP="00BD78C8">
      <w:pPr>
        <w:spacing w:line="360" w:lineRule="auto"/>
        <w:rPr>
          <w:rFonts w:asciiTheme="minorBidi" w:hAnsiTheme="minorBidi"/>
          <w:color w:val="000000" w:themeColor="text1"/>
        </w:rPr>
      </w:pPr>
      <w:r w:rsidRPr="00BA240E">
        <w:rPr>
          <w:rFonts w:asciiTheme="minorBidi" w:hAnsiTheme="minorBidi"/>
          <w:color w:val="000000" w:themeColor="text1"/>
        </w:rPr>
        <w:t xml:space="preserve">In one automation example, an automation specialist wants to transfer data from CODESYS to Node-RED. Native CODESYS provides the Data Hub with information on fill levels, switches and valves, or general events. The automation technician sees the individual variables listed there, together with all metadata. He wants to use the information on a switch in Node-RED, and defines what the system will do next depending on the switching position – </w:t>
      </w:r>
      <w:r w:rsidRPr="00BA240E">
        <w:rPr>
          <w:rFonts w:asciiTheme="minorBidi" w:hAnsiTheme="minorBidi"/>
          <w:color w:val="000000" w:themeColor="text1"/>
        </w:rPr>
        <w:lastRenderedPageBreak/>
        <w:t>“on” or “off”. In the Data Hub, the automation technician networks the variables from the CODESYS application with the Node-RED in just a few clicks.</w:t>
      </w:r>
    </w:p>
    <w:p w14:paraId="461CEAE7" w14:textId="1ED5E976" w:rsidR="00BD78C8" w:rsidRPr="00BA240E" w:rsidRDefault="00BD78C8" w:rsidP="00BD78C8">
      <w:pPr>
        <w:spacing w:line="360" w:lineRule="auto"/>
        <w:rPr>
          <w:rFonts w:asciiTheme="minorBidi" w:eastAsia="Arial" w:hAnsiTheme="minorBidi"/>
          <w:color w:val="000000" w:themeColor="text1"/>
        </w:rPr>
      </w:pPr>
      <w:r w:rsidRPr="00BA240E">
        <w:rPr>
          <w:rFonts w:asciiTheme="minorBidi" w:hAnsiTheme="minorBidi"/>
          <w:color w:val="000000" w:themeColor="text1"/>
        </w:rPr>
        <w:t xml:space="preserve">Instead of programming the connection, he can easily configure it. This saves time and reduces errors. </w:t>
      </w:r>
    </w:p>
    <w:p w14:paraId="5E6C7EA0" w14:textId="77777777" w:rsidR="00BD78C8" w:rsidRPr="00BA240E" w:rsidRDefault="00BD78C8" w:rsidP="00BD78C8">
      <w:pPr>
        <w:spacing w:line="360" w:lineRule="auto"/>
        <w:rPr>
          <w:rFonts w:asciiTheme="minorBidi" w:eastAsia="Arial" w:hAnsiTheme="minorBidi"/>
          <w:color w:val="000000" w:themeColor="text1"/>
        </w:rPr>
      </w:pPr>
      <w:r w:rsidRPr="00BA240E">
        <w:rPr>
          <w:rFonts w:asciiTheme="minorBidi" w:hAnsiTheme="minorBidi"/>
          <w:color w:val="000000" w:themeColor="text1"/>
        </w:rPr>
        <w:t xml:space="preserve">The Data Hub makes it easier to network different apps. Through http requests, heterogeneous machines can display and network data in the Data Hub – without complex programming. This makes the Data Hub particularly suitable for production processes not based on OPC UA. </w:t>
      </w:r>
    </w:p>
    <w:p w14:paraId="5EA85D23" w14:textId="77777777" w:rsidR="00BD78C8" w:rsidRDefault="00BD78C8" w:rsidP="00BD78C8">
      <w:pPr>
        <w:spacing w:line="360" w:lineRule="auto"/>
        <w:rPr>
          <w:rFonts w:asciiTheme="minorBidi" w:hAnsiTheme="minorBidi"/>
          <w:b/>
          <w:color w:val="000000" w:themeColor="text1"/>
        </w:rPr>
      </w:pPr>
    </w:p>
    <w:p w14:paraId="0342B0BF" w14:textId="0BCD50FB" w:rsidR="00BD78C8" w:rsidRPr="00BA240E" w:rsidRDefault="00BD78C8" w:rsidP="00BD78C8">
      <w:pPr>
        <w:spacing w:line="360" w:lineRule="auto"/>
        <w:rPr>
          <w:rFonts w:asciiTheme="minorBidi" w:eastAsia="Arial" w:hAnsiTheme="minorBidi"/>
          <w:color w:val="000000" w:themeColor="text1"/>
        </w:rPr>
      </w:pPr>
      <w:r w:rsidRPr="00BA240E">
        <w:rPr>
          <w:rFonts w:asciiTheme="minorBidi" w:hAnsiTheme="minorBidi"/>
          <w:b/>
          <w:color w:val="000000" w:themeColor="text1"/>
        </w:rPr>
        <w:t>The Data Hub as a supplement to the Weidmüller u-software portfolio</w:t>
      </w:r>
    </w:p>
    <w:p w14:paraId="5DA6EA9F" w14:textId="77777777" w:rsidR="000C3F5F" w:rsidRDefault="000C3F5F" w:rsidP="00BD78C8">
      <w:pPr>
        <w:spacing w:line="360" w:lineRule="auto"/>
        <w:rPr>
          <w:rFonts w:eastAsia="Arial" w:cs="Arial"/>
          <w:color w:val="000000" w:themeColor="text1"/>
          <w:szCs w:val="22"/>
        </w:rPr>
      </w:pPr>
    </w:p>
    <w:p w14:paraId="30834317" w14:textId="75CD3CEB" w:rsidR="00BD78C8" w:rsidRPr="00BD78C8" w:rsidRDefault="00BD78C8" w:rsidP="00BD78C8">
      <w:pPr>
        <w:spacing w:line="360" w:lineRule="auto"/>
        <w:rPr>
          <w:rFonts w:eastAsia="Arial" w:cs="Arial"/>
          <w:color w:val="000000" w:themeColor="text1"/>
          <w:szCs w:val="22"/>
        </w:rPr>
      </w:pPr>
      <w:r w:rsidRPr="00BD78C8">
        <w:rPr>
          <w:rFonts w:eastAsia="Arial" w:cs="Arial"/>
          <w:color w:val="000000" w:themeColor="text1"/>
          <w:szCs w:val="22"/>
        </w:rPr>
        <w:t xml:space="preserve">As part of the u-software portfolio from Weidmüller, the Data Hub networks different applications together. As such, it supplements the software portfolio for data collection, data pre-processing and control, forwarding, analysis, and evaluation. </w:t>
      </w:r>
    </w:p>
    <w:p w14:paraId="0FCAF6EB" w14:textId="77777777" w:rsidR="00BD78C8" w:rsidRDefault="00BD78C8" w:rsidP="0027261F">
      <w:pPr>
        <w:spacing w:line="360" w:lineRule="auto"/>
        <w:rPr>
          <w:rFonts w:eastAsia="Arial" w:cs="Arial"/>
          <w:color w:val="000000" w:themeColor="text1"/>
          <w:szCs w:val="22"/>
        </w:rPr>
      </w:pPr>
    </w:p>
    <w:p w14:paraId="2DBDB092" w14:textId="0C2778AF" w:rsidR="00E422D4" w:rsidRPr="003F0303" w:rsidRDefault="00343884" w:rsidP="4EBA6386">
      <w:pPr>
        <w:spacing w:line="360" w:lineRule="auto"/>
        <w:ind w:right="-851"/>
        <w:jc w:val="both"/>
        <w:rPr>
          <w:sz w:val="18"/>
          <w:szCs w:val="18"/>
        </w:rPr>
      </w:pPr>
      <w:r>
        <w:rPr>
          <w:sz w:val="18"/>
          <w:szCs w:val="18"/>
        </w:rPr>
        <w:t>2535</w:t>
      </w:r>
      <w:r w:rsidR="759B1E68" w:rsidRPr="4EBA6386">
        <w:rPr>
          <w:sz w:val="18"/>
          <w:szCs w:val="18"/>
        </w:rPr>
        <w:t xml:space="preserve"> </w:t>
      </w:r>
      <w:r w:rsidR="00301932" w:rsidRPr="4EBA6386">
        <w:rPr>
          <w:sz w:val="18"/>
          <w:szCs w:val="18"/>
        </w:rPr>
        <w:t>characters including spaces</w:t>
      </w:r>
    </w:p>
    <w:p w14:paraId="3ECE2C4A" w14:textId="14DAFAB1" w:rsidR="00E422D4" w:rsidRPr="000731C5" w:rsidRDefault="759B1E68" w:rsidP="00F57589">
      <w:pPr>
        <w:spacing w:line="360" w:lineRule="auto"/>
        <w:ind w:right="-851"/>
        <w:jc w:val="both"/>
        <w:rPr>
          <w:sz w:val="18"/>
        </w:rPr>
      </w:pPr>
      <w:r w:rsidRPr="4EBA6386">
        <w:rPr>
          <w:sz w:val="18"/>
          <w:szCs w:val="18"/>
        </w:rPr>
        <w:t xml:space="preserve"> </w:t>
      </w:r>
      <w:r w:rsidR="00301932" w:rsidRPr="4EBA6386">
        <w:rPr>
          <w:sz w:val="18"/>
          <w:szCs w:val="18"/>
        </w:rPr>
        <w:t xml:space="preserve"> </w:t>
      </w:r>
    </w:p>
    <w:p w14:paraId="0195A493" w14:textId="794BE9A8" w:rsidR="15259608" w:rsidRDefault="00343884" w:rsidP="000C3F5F">
      <w:pPr>
        <w:spacing w:line="360" w:lineRule="auto"/>
        <w:ind w:right="-851"/>
        <w:jc w:val="both"/>
        <w:rPr>
          <w:sz w:val="18"/>
          <w:szCs w:val="18"/>
        </w:rPr>
      </w:pPr>
      <w:r>
        <w:rPr>
          <w:noProof/>
          <w:sz w:val="18"/>
          <w:szCs w:val="18"/>
        </w:rPr>
        <w:drawing>
          <wp:inline distT="0" distB="0" distL="0" distR="0" wp14:anchorId="0A228A5E" wp14:editId="614D8F77">
            <wp:extent cx="4848225" cy="2733675"/>
            <wp:effectExtent l="0" t="0" r="9525" b="9525"/>
            <wp:docPr id="433195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2733675"/>
                    </a:xfrm>
                    <a:prstGeom prst="rect">
                      <a:avLst/>
                    </a:prstGeom>
                    <a:noFill/>
                    <a:ln>
                      <a:noFill/>
                    </a:ln>
                  </pic:spPr>
                </pic:pic>
              </a:graphicData>
            </a:graphic>
          </wp:inline>
        </w:drawing>
      </w:r>
    </w:p>
    <w:p w14:paraId="7EEE206F" w14:textId="3880AB0A" w:rsidR="00343884" w:rsidRPr="007E626F" w:rsidRDefault="00343884" w:rsidP="00343884">
      <w:pPr>
        <w:spacing w:line="360" w:lineRule="auto"/>
        <w:ind w:right="-851"/>
        <w:rPr>
          <w:rFonts w:eastAsia="Arial" w:cs="Arial"/>
          <w:sz w:val="18"/>
          <w:szCs w:val="18"/>
        </w:rPr>
      </w:pPr>
      <w:bookmarkStart w:id="0" w:name="_Hlk123550621"/>
      <w:r w:rsidRPr="4EBA6386">
        <w:rPr>
          <w:sz w:val="18"/>
          <w:szCs w:val="18"/>
          <w:lang w:val="en-US"/>
        </w:rPr>
        <w:t>Image caption:</w:t>
      </w:r>
      <w:bookmarkEnd w:id="0"/>
      <w:r>
        <w:rPr>
          <w:sz w:val="18"/>
          <w:szCs w:val="18"/>
          <w:lang w:val="en-US"/>
        </w:rPr>
        <w:t xml:space="preserve"> </w:t>
      </w:r>
      <w:r w:rsidRPr="00343884">
        <w:rPr>
          <w:sz w:val="18"/>
          <w:szCs w:val="18"/>
          <w:lang w:val="en-US"/>
        </w:rPr>
        <w:t>The Data Hub networks different applications installed on u-OS with one another.</w:t>
      </w:r>
    </w:p>
    <w:p w14:paraId="02973C3A" w14:textId="77777777" w:rsidR="00343884" w:rsidRDefault="00343884" w:rsidP="000C3F5F">
      <w:pPr>
        <w:spacing w:line="360" w:lineRule="auto"/>
        <w:ind w:right="-851"/>
        <w:jc w:val="both"/>
        <w:rPr>
          <w:sz w:val="18"/>
          <w:szCs w:val="18"/>
        </w:rPr>
      </w:pPr>
    </w:p>
    <w:p w14:paraId="175E3F3A" w14:textId="77777777" w:rsidR="008572A6" w:rsidRDefault="008572A6">
      <w:pPr>
        <w:spacing w:after="160" w:line="259" w:lineRule="auto"/>
        <w:rPr>
          <w:rStyle w:val="Fett"/>
          <w:rFonts w:eastAsia="Batang" w:cs="Arial"/>
          <w:color w:val="323130"/>
          <w:sz w:val="18"/>
          <w:szCs w:val="18"/>
        </w:rPr>
      </w:pPr>
      <w:r>
        <w:rPr>
          <w:rStyle w:val="Fett"/>
          <w:rFonts w:cs="Arial"/>
          <w:color w:val="323130"/>
          <w:sz w:val="18"/>
          <w:szCs w:val="18"/>
        </w:rPr>
        <w:br w:type="page"/>
      </w:r>
    </w:p>
    <w:p w14:paraId="2210EF80" w14:textId="01B8533F" w:rsidR="008572A6" w:rsidRPr="008572A6" w:rsidRDefault="008572A6" w:rsidP="008572A6">
      <w:pPr>
        <w:pStyle w:val="StandardWeb"/>
        <w:shd w:val="clear" w:color="auto" w:fill="FFFFFF"/>
        <w:spacing w:after="336" w:line="360" w:lineRule="auto"/>
        <w:rPr>
          <w:rFonts w:ascii="Arial" w:hAnsi="Arial" w:cs="Arial"/>
          <w:color w:val="323130"/>
          <w:sz w:val="18"/>
          <w:szCs w:val="18"/>
        </w:rPr>
      </w:pPr>
      <w:r w:rsidRPr="008572A6">
        <w:rPr>
          <w:rStyle w:val="Fett"/>
          <w:rFonts w:ascii="Arial" w:hAnsi="Arial" w:cs="Arial"/>
          <w:color w:val="323130"/>
          <w:sz w:val="18"/>
          <w:szCs w:val="18"/>
        </w:rPr>
        <w:lastRenderedPageBreak/>
        <w:t>The Weidmüller Group</w:t>
      </w:r>
    </w:p>
    <w:p w14:paraId="7EC0C77B" w14:textId="77777777" w:rsidR="008572A6" w:rsidRPr="008572A6" w:rsidRDefault="008572A6" w:rsidP="008572A6">
      <w:pPr>
        <w:pStyle w:val="StandardWeb"/>
        <w:shd w:val="clear" w:color="auto" w:fill="FFFFFF"/>
        <w:spacing w:after="336" w:line="360" w:lineRule="auto"/>
        <w:rPr>
          <w:rFonts w:ascii="Arial" w:hAnsi="Arial" w:cs="Arial"/>
          <w:color w:val="323130"/>
          <w:sz w:val="18"/>
          <w:szCs w:val="18"/>
        </w:rPr>
      </w:pPr>
      <w:r w:rsidRPr="008572A6">
        <w:rPr>
          <w:rFonts w:ascii="Arial" w:hAnsi="Arial" w:cs="Arial"/>
          <w:color w:val="323130"/>
          <w:sz w:val="18"/>
          <w:szCs w:val="18"/>
        </w:rPr>
        <w:t>Smart Industrial Connectivity: Electrification, automation, digitalisation,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r:id="rId12" w:anchor="wm-1246253" w:history="1">
        <w:r w:rsidRPr="00204921">
          <w:rPr>
            <w:rStyle w:val="normaltextrun"/>
            <w:rFonts w:ascii="Arial" w:eastAsia="Times New Roman" w:hAnsi="Arial" w:cs="Arial"/>
            <w:color w:val="0000FF"/>
            <w:sz w:val="18"/>
            <w:szCs w:val="18"/>
            <w:lang w:val="en-US" w:eastAsia="de-DE"/>
          </w:rPr>
          <w:t xml:space="preserve">Diversity </w:t>
        </w:r>
        <w:r w:rsidRPr="00204921">
          <w:rPr>
            <w:rStyle w:val="normaltextrun"/>
            <w:rFonts w:ascii="Arial" w:eastAsia="Times New Roman" w:hAnsi="Arial" w:cs="Arial"/>
            <w:color w:val="0000FF"/>
            <w:sz w:val="18"/>
            <w:szCs w:val="18"/>
            <w:lang w:val="en-US" w:eastAsia="de-DE"/>
          </w:rPr>
          <w:t>w</w:t>
        </w:r>
        <w:r w:rsidRPr="00204921">
          <w:rPr>
            <w:rStyle w:val="normaltextrun"/>
            <w:rFonts w:ascii="Arial" w:eastAsia="Times New Roman" w:hAnsi="Arial" w:cs="Arial"/>
            <w:color w:val="0000FF"/>
            <w:sz w:val="18"/>
            <w:szCs w:val="18"/>
            <w:lang w:val="en-US" w:eastAsia="de-DE"/>
          </w:rPr>
          <w:t>ith respect</w:t>
        </w:r>
      </w:hyperlink>
      <w:r w:rsidRPr="008572A6">
        <w:rPr>
          <w:rFonts w:ascii="Arial" w:hAnsi="Arial" w:cs="Arial"/>
          <w:color w:val="323130"/>
          <w:sz w:val="18"/>
          <w:szCs w:val="18"/>
        </w:rPr>
        <w:t>.</w:t>
      </w:r>
    </w:p>
    <w:p w14:paraId="44B1AC8C" w14:textId="77777777" w:rsidR="008572A6" w:rsidRPr="008572A6" w:rsidRDefault="008572A6" w:rsidP="008572A6">
      <w:pPr>
        <w:pStyle w:val="StandardWeb"/>
        <w:shd w:val="clear" w:color="auto" w:fill="FFFFFF"/>
        <w:spacing w:line="360" w:lineRule="auto"/>
        <w:rPr>
          <w:rFonts w:ascii="Arial" w:hAnsi="Arial" w:cs="Arial"/>
          <w:color w:val="323130"/>
          <w:sz w:val="18"/>
          <w:szCs w:val="18"/>
        </w:rPr>
      </w:pPr>
      <w:r w:rsidRPr="008572A6">
        <w:rPr>
          <w:rFonts w:ascii="Arial" w:hAnsi="Arial" w:cs="Arial"/>
          <w:color w:val="323130"/>
          <w:sz w:val="18"/>
          <w:szCs w:val="18"/>
        </w:rPr>
        <w:t>Technologies and engagement for a liveable future - Weidmüller demonstrates how it approaches the topic of sustainability in its interactive </w:t>
      </w:r>
      <w:hyperlink r:id="rId13" w:history="1">
        <w:r w:rsidRPr="00204921">
          <w:rPr>
            <w:rStyle w:val="normaltextrun"/>
            <w:rFonts w:ascii="Arial" w:eastAsia="Times New Roman" w:hAnsi="Arial" w:cs="Arial"/>
            <w:color w:val="0000FF"/>
            <w:sz w:val="18"/>
            <w:szCs w:val="18"/>
            <w:lang w:val="en-US" w:eastAsia="de-DE"/>
          </w:rPr>
          <w:t>sustainability brochure</w:t>
        </w:r>
      </w:hyperlink>
      <w:r w:rsidRPr="008572A6">
        <w:rPr>
          <w:rFonts w:ascii="Arial" w:hAnsi="Arial" w:cs="Arial"/>
          <w:color w:val="323130"/>
          <w:sz w:val="18"/>
          <w:szCs w:val="18"/>
        </w:rPr>
        <w:t>.</w:t>
      </w:r>
    </w:p>
    <w:p w14:paraId="5CD3A719" w14:textId="77777777" w:rsidR="008572A6" w:rsidRDefault="008572A6" w:rsidP="000C3F5F">
      <w:pPr>
        <w:spacing w:line="360" w:lineRule="auto"/>
        <w:ind w:right="-851"/>
        <w:jc w:val="both"/>
        <w:rPr>
          <w:sz w:val="18"/>
          <w:szCs w:val="18"/>
        </w:rPr>
      </w:pPr>
    </w:p>
    <w:p w14:paraId="7E2489FB" w14:textId="77777777" w:rsidR="00204921" w:rsidRPr="00180A40" w:rsidRDefault="00204921" w:rsidP="00204921">
      <w:pPr>
        <w:pStyle w:val="paragraph"/>
        <w:spacing w:before="0" w:beforeAutospacing="0" w:after="0" w:afterAutospacing="0" w:line="360" w:lineRule="auto"/>
        <w:jc w:val="both"/>
        <w:textAlignment w:val="baseline"/>
        <w:rPr>
          <w:rFonts w:ascii="Arial" w:hAnsi="Arial" w:cs="Arial"/>
          <w:sz w:val="18"/>
          <w:szCs w:val="18"/>
          <w:lang w:val="en-US"/>
        </w:rPr>
      </w:pPr>
      <w:r w:rsidRPr="00180A40">
        <w:rPr>
          <w:rStyle w:val="normaltextrun"/>
          <w:rFonts w:ascii="Arial" w:hAnsi="Arial" w:cs="Arial"/>
          <w:b/>
          <w:bCs/>
          <w:sz w:val="18"/>
          <w:szCs w:val="18"/>
          <w:lang w:val="en-US"/>
        </w:rPr>
        <w:t>Your contact person:</w:t>
      </w:r>
      <w:r w:rsidRPr="00180A40">
        <w:rPr>
          <w:rStyle w:val="normaltextrun"/>
          <w:rFonts w:ascii="Arial" w:hAnsi="Arial" w:cs="Arial"/>
          <w:sz w:val="18"/>
          <w:szCs w:val="18"/>
          <w:lang w:val="en-US"/>
        </w:rPr>
        <w:t xml:space="preserve"> </w:t>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normaltextrun"/>
          <w:rFonts w:ascii="Arial" w:hAnsi="Arial" w:cs="Arial"/>
          <w:sz w:val="18"/>
          <w:szCs w:val="18"/>
          <w:lang w:val="en-US"/>
        </w:rPr>
        <w:t>Weidmüller Corporate Communications </w:t>
      </w:r>
      <w:r w:rsidRPr="00180A40">
        <w:rPr>
          <w:rStyle w:val="eop"/>
          <w:rFonts w:ascii="Arial" w:hAnsi="Arial" w:cs="Arial"/>
          <w:sz w:val="18"/>
          <w:szCs w:val="18"/>
          <w:lang w:val="en-US"/>
        </w:rPr>
        <w:t> </w:t>
      </w:r>
    </w:p>
    <w:p w14:paraId="5ACE6A7A" w14:textId="77777777" w:rsidR="00204921" w:rsidRPr="00180A40" w:rsidRDefault="00204921" w:rsidP="00204921">
      <w:pPr>
        <w:pStyle w:val="paragraph"/>
        <w:spacing w:before="0" w:beforeAutospacing="0" w:after="0" w:afterAutospacing="0" w:line="360" w:lineRule="auto"/>
        <w:jc w:val="both"/>
        <w:textAlignment w:val="baseline"/>
        <w:rPr>
          <w:rFonts w:ascii="Arial" w:hAnsi="Arial" w:cs="Arial"/>
          <w:sz w:val="18"/>
          <w:szCs w:val="18"/>
        </w:rPr>
      </w:pPr>
      <w:r w:rsidRPr="00180A40">
        <w:rPr>
          <w:rStyle w:val="normaltextrun"/>
          <w:rFonts w:ascii="Arial" w:hAnsi="Arial" w:cs="Arial"/>
          <w:sz w:val="18"/>
          <w:szCs w:val="18"/>
          <w:lang w:val="en-US"/>
        </w:rPr>
        <w:t xml:space="preserve">   </w:t>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normaltextrun"/>
          <w:rFonts w:ascii="Arial" w:hAnsi="Arial" w:cs="Arial"/>
          <w:sz w:val="18"/>
          <w:szCs w:val="18"/>
          <w:lang w:val="en-US"/>
        </w:rPr>
        <w:t>Tel.: +49 5231 14-292322</w:t>
      </w:r>
      <w:r w:rsidRPr="00180A40">
        <w:rPr>
          <w:rStyle w:val="eop"/>
          <w:rFonts w:ascii="Arial" w:hAnsi="Arial" w:cs="Arial"/>
          <w:sz w:val="18"/>
          <w:szCs w:val="18"/>
        </w:rPr>
        <w:t> </w:t>
      </w:r>
    </w:p>
    <w:p w14:paraId="3BD7B3BF" w14:textId="77777777" w:rsidR="00204921" w:rsidRPr="00D47AF4" w:rsidRDefault="00204921" w:rsidP="00204921">
      <w:pPr>
        <w:pStyle w:val="paragraph"/>
        <w:spacing w:before="0" w:beforeAutospacing="0" w:after="0" w:afterAutospacing="0" w:line="360" w:lineRule="auto"/>
        <w:ind w:left="2115" w:firstLine="705"/>
        <w:jc w:val="both"/>
        <w:textAlignment w:val="baseline"/>
        <w:rPr>
          <w:rFonts w:ascii="Arial" w:hAnsi="Arial" w:cs="Arial"/>
          <w:sz w:val="18"/>
          <w:szCs w:val="18"/>
        </w:rPr>
      </w:pPr>
      <w:r w:rsidRPr="00180A40">
        <w:rPr>
          <w:rStyle w:val="normaltextrun"/>
          <w:rFonts w:ascii="Arial" w:hAnsi="Arial" w:cs="Arial"/>
          <w:sz w:val="18"/>
          <w:szCs w:val="18"/>
          <w:lang w:val="en-US"/>
        </w:rPr>
        <w:t xml:space="preserve">Email: </w:t>
      </w:r>
      <w:hyperlink r:id="rId14" w:tgtFrame="_blank" w:history="1">
        <w:r w:rsidRPr="00180A40">
          <w:rPr>
            <w:rStyle w:val="normaltextrun"/>
            <w:rFonts w:ascii="Arial" w:hAnsi="Arial" w:cs="Arial"/>
            <w:color w:val="0000FF"/>
            <w:sz w:val="18"/>
            <w:szCs w:val="18"/>
            <w:lang w:val="en-US"/>
          </w:rPr>
          <w:t>presse@weidmueller.com</w:t>
        </w:r>
      </w:hyperlink>
    </w:p>
    <w:p w14:paraId="0F55769D" w14:textId="77777777" w:rsidR="008572A6" w:rsidRDefault="008572A6" w:rsidP="000C3F5F">
      <w:pPr>
        <w:spacing w:line="360" w:lineRule="auto"/>
        <w:ind w:right="-851"/>
        <w:jc w:val="both"/>
        <w:rPr>
          <w:sz w:val="18"/>
          <w:szCs w:val="18"/>
        </w:rPr>
      </w:pPr>
    </w:p>
    <w:sectPr w:rsidR="008572A6" w:rsidSect="005A641F">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13C3" w14:textId="77777777" w:rsidR="00ED19AA" w:rsidRDefault="00ED19AA">
      <w:r>
        <w:separator/>
      </w:r>
    </w:p>
  </w:endnote>
  <w:endnote w:type="continuationSeparator" w:id="0">
    <w:p w14:paraId="14726121" w14:textId="77777777" w:rsidR="00ED19AA" w:rsidRDefault="00ED19AA">
      <w:r>
        <w:continuationSeparator/>
      </w:r>
    </w:p>
  </w:endnote>
  <w:endnote w:type="continuationNotice" w:id="1">
    <w:p w14:paraId="6D7680A4" w14:textId="77777777" w:rsidR="00ED19AA" w:rsidRDefault="00ED1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7A3F" w14:textId="77777777" w:rsidR="00ED19AA" w:rsidRDefault="00ED19AA">
      <w:r>
        <w:separator/>
      </w:r>
    </w:p>
  </w:footnote>
  <w:footnote w:type="continuationSeparator" w:id="0">
    <w:p w14:paraId="3A5E1E05" w14:textId="77777777" w:rsidR="00ED19AA" w:rsidRDefault="00ED19AA">
      <w:r>
        <w:continuationSeparator/>
      </w:r>
    </w:p>
  </w:footnote>
  <w:footnote w:type="continuationNotice" w:id="1">
    <w:p w14:paraId="23BBBA05" w14:textId="77777777" w:rsidR="00ED19AA" w:rsidRDefault="00ED1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0055E"/>
    <w:rsid w:val="000104E1"/>
    <w:rsid w:val="0001592A"/>
    <w:rsid w:val="00046596"/>
    <w:rsid w:val="000613DE"/>
    <w:rsid w:val="000731C5"/>
    <w:rsid w:val="00090D0E"/>
    <w:rsid w:val="000937D9"/>
    <w:rsid w:val="000B51EC"/>
    <w:rsid w:val="000C3F5F"/>
    <w:rsid w:val="000E32EA"/>
    <w:rsid w:val="000F0250"/>
    <w:rsid w:val="000F2FDE"/>
    <w:rsid w:val="001234D0"/>
    <w:rsid w:val="00133C3B"/>
    <w:rsid w:val="00170D47"/>
    <w:rsid w:val="00174929"/>
    <w:rsid w:val="00180FAA"/>
    <w:rsid w:val="00183E11"/>
    <w:rsid w:val="001A6467"/>
    <w:rsid w:val="001B3185"/>
    <w:rsid w:val="001C67FE"/>
    <w:rsid w:val="001F325A"/>
    <w:rsid w:val="001F383B"/>
    <w:rsid w:val="00204921"/>
    <w:rsid w:val="00222257"/>
    <w:rsid w:val="00222C6D"/>
    <w:rsid w:val="0023453C"/>
    <w:rsid w:val="00240B77"/>
    <w:rsid w:val="00242DF9"/>
    <w:rsid w:val="0027261F"/>
    <w:rsid w:val="00293327"/>
    <w:rsid w:val="002A1D22"/>
    <w:rsid w:val="002A6CB9"/>
    <w:rsid w:val="002D2289"/>
    <w:rsid w:val="002F0CFE"/>
    <w:rsid w:val="00301932"/>
    <w:rsid w:val="003026B2"/>
    <w:rsid w:val="003154A8"/>
    <w:rsid w:val="00340492"/>
    <w:rsid w:val="003436A1"/>
    <w:rsid w:val="00343884"/>
    <w:rsid w:val="00347104"/>
    <w:rsid w:val="00351F8A"/>
    <w:rsid w:val="0035715E"/>
    <w:rsid w:val="003630EB"/>
    <w:rsid w:val="003636A1"/>
    <w:rsid w:val="00371250"/>
    <w:rsid w:val="00393DBA"/>
    <w:rsid w:val="00394CD5"/>
    <w:rsid w:val="003C2488"/>
    <w:rsid w:val="003F0303"/>
    <w:rsid w:val="003F03DC"/>
    <w:rsid w:val="003F0DDB"/>
    <w:rsid w:val="00401D18"/>
    <w:rsid w:val="00413507"/>
    <w:rsid w:val="00417ED2"/>
    <w:rsid w:val="00445BD2"/>
    <w:rsid w:val="004538BC"/>
    <w:rsid w:val="00467CA9"/>
    <w:rsid w:val="00484CC9"/>
    <w:rsid w:val="00484F0F"/>
    <w:rsid w:val="004B4EED"/>
    <w:rsid w:val="004C4B0D"/>
    <w:rsid w:val="004D58D1"/>
    <w:rsid w:val="00506496"/>
    <w:rsid w:val="00515DAC"/>
    <w:rsid w:val="00532B9E"/>
    <w:rsid w:val="0053685A"/>
    <w:rsid w:val="00536C3D"/>
    <w:rsid w:val="00542BC6"/>
    <w:rsid w:val="00543E65"/>
    <w:rsid w:val="00552D24"/>
    <w:rsid w:val="0057710B"/>
    <w:rsid w:val="0058070C"/>
    <w:rsid w:val="005937AF"/>
    <w:rsid w:val="005A4D01"/>
    <w:rsid w:val="005A641F"/>
    <w:rsid w:val="005B048E"/>
    <w:rsid w:val="005B3979"/>
    <w:rsid w:val="005C713A"/>
    <w:rsid w:val="005E592E"/>
    <w:rsid w:val="005F46A7"/>
    <w:rsid w:val="005F7898"/>
    <w:rsid w:val="006002D4"/>
    <w:rsid w:val="00602E26"/>
    <w:rsid w:val="00607C70"/>
    <w:rsid w:val="00611406"/>
    <w:rsid w:val="006123C2"/>
    <w:rsid w:val="00617F08"/>
    <w:rsid w:val="00621533"/>
    <w:rsid w:val="0063529F"/>
    <w:rsid w:val="00645E40"/>
    <w:rsid w:val="0067023E"/>
    <w:rsid w:val="0068051B"/>
    <w:rsid w:val="00691EE1"/>
    <w:rsid w:val="006B4665"/>
    <w:rsid w:val="006C393F"/>
    <w:rsid w:val="006E13D9"/>
    <w:rsid w:val="00710C78"/>
    <w:rsid w:val="007119FD"/>
    <w:rsid w:val="00741FF6"/>
    <w:rsid w:val="00745593"/>
    <w:rsid w:val="00751163"/>
    <w:rsid w:val="00763A9B"/>
    <w:rsid w:val="00771F6F"/>
    <w:rsid w:val="00783367"/>
    <w:rsid w:val="007903F1"/>
    <w:rsid w:val="007E314E"/>
    <w:rsid w:val="007F45A2"/>
    <w:rsid w:val="0080108B"/>
    <w:rsid w:val="00806191"/>
    <w:rsid w:val="008133B1"/>
    <w:rsid w:val="008204DE"/>
    <w:rsid w:val="00853354"/>
    <w:rsid w:val="008572A6"/>
    <w:rsid w:val="008611D3"/>
    <w:rsid w:val="00861FAA"/>
    <w:rsid w:val="008758C9"/>
    <w:rsid w:val="0088340F"/>
    <w:rsid w:val="0089101A"/>
    <w:rsid w:val="00894932"/>
    <w:rsid w:val="008A3CD4"/>
    <w:rsid w:val="008A6A5B"/>
    <w:rsid w:val="008B3A69"/>
    <w:rsid w:val="008B3BA1"/>
    <w:rsid w:val="008B7DA6"/>
    <w:rsid w:val="008C7050"/>
    <w:rsid w:val="008D05A6"/>
    <w:rsid w:val="008E5192"/>
    <w:rsid w:val="008F1337"/>
    <w:rsid w:val="0090573D"/>
    <w:rsid w:val="00907017"/>
    <w:rsid w:val="00923CD3"/>
    <w:rsid w:val="00930C4A"/>
    <w:rsid w:val="00985AD9"/>
    <w:rsid w:val="0099006F"/>
    <w:rsid w:val="00991593"/>
    <w:rsid w:val="009D7901"/>
    <w:rsid w:val="009E569D"/>
    <w:rsid w:val="009F58C2"/>
    <w:rsid w:val="00A018A6"/>
    <w:rsid w:val="00A05AA8"/>
    <w:rsid w:val="00A22EF7"/>
    <w:rsid w:val="00A60138"/>
    <w:rsid w:val="00A6086C"/>
    <w:rsid w:val="00A939D9"/>
    <w:rsid w:val="00AC7677"/>
    <w:rsid w:val="00AE66ED"/>
    <w:rsid w:val="00B14AA4"/>
    <w:rsid w:val="00B21BC9"/>
    <w:rsid w:val="00B26F41"/>
    <w:rsid w:val="00B27383"/>
    <w:rsid w:val="00B32213"/>
    <w:rsid w:val="00B369AF"/>
    <w:rsid w:val="00B77320"/>
    <w:rsid w:val="00B80C8B"/>
    <w:rsid w:val="00BB6E05"/>
    <w:rsid w:val="00BC512F"/>
    <w:rsid w:val="00BC5E94"/>
    <w:rsid w:val="00BD78C8"/>
    <w:rsid w:val="00BE3854"/>
    <w:rsid w:val="00BF0C09"/>
    <w:rsid w:val="00BF6E7D"/>
    <w:rsid w:val="00C03A3A"/>
    <w:rsid w:val="00C1340D"/>
    <w:rsid w:val="00C15661"/>
    <w:rsid w:val="00C22157"/>
    <w:rsid w:val="00C573E1"/>
    <w:rsid w:val="00CA056E"/>
    <w:rsid w:val="00CB1B20"/>
    <w:rsid w:val="00CC185E"/>
    <w:rsid w:val="00CE43F3"/>
    <w:rsid w:val="00CE61F6"/>
    <w:rsid w:val="00D26E05"/>
    <w:rsid w:val="00D31B4C"/>
    <w:rsid w:val="00D42711"/>
    <w:rsid w:val="00D43ED4"/>
    <w:rsid w:val="00D57B96"/>
    <w:rsid w:val="00D64190"/>
    <w:rsid w:val="00D67AD1"/>
    <w:rsid w:val="00D77DD8"/>
    <w:rsid w:val="00DA06B6"/>
    <w:rsid w:val="00DB60DC"/>
    <w:rsid w:val="00DB6523"/>
    <w:rsid w:val="00DC04AF"/>
    <w:rsid w:val="00DD1340"/>
    <w:rsid w:val="00DD5F0B"/>
    <w:rsid w:val="00DE3BFE"/>
    <w:rsid w:val="00DE5F54"/>
    <w:rsid w:val="00DF3CB2"/>
    <w:rsid w:val="00E0195F"/>
    <w:rsid w:val="00E03970"/>
    <w:rsid w:val="00E122D1"/>
    <w:rsid w:val="00E16558"/>
    <w:rsid w:val="00E2459D"/>
    <w:rsid w:val="00E34072"/>
    <w:rsid w:val="00E422D4"/>
    <w:rsid w:val="00E4399C"/>
    <w:rsid w:val="00E43A8B"/>
    <w:rsid w:val="00E9313F"/>
    <w:rsid w:val="00ED19AA"/>
    <w:rsid w:val="00EF60DE"/>
    <w:rsid w:val="00EF6336"/>
    <w:rsid w:val="00F027C8"/>
    <w:rsid w:val="00F0372B"/>
    <w:rsid w:val="00F1286D"/>
    <w:rsid w:val="00F227A2"/>
    <w:rsid w:val="00F344DC"/>
    <w:rsid w:val="00F5183B"/>
    <w:rsid w:val="00F56B2E"/>
    <w:rsid w:val="00F56DF2"/>
    <w:rsid w:val="00F57589"/>
    <w:rsid w:val="00F60385"/>
    <w:rsid w:val="00FA747B"/>
    <w:rsid w:val="00FC2A3C"/>
    <w:rsid w:val="00FD28E9"/>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B840D97A-F078-44E8-AD2F-51BBD59E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8395">
      <w:bodyDiv w:val="1"/>
      <w:marLeft w:val="0"/>
      <w:marRight w:val="0"/>
      <w:marTop w:val="0"/>
      <w:marBottom w:val="0"/>
      <w:divBdr>
        <w:top w:val="none" w:sz="0" w:space="0" w:color="auto"/>
        <w:left w:val="none" w:sz="0" w:space="0" w:color="auto"/>
        <w:bottom w:val="none" w:sz="0" w:space="0" w:color="auto"/>
        <w:right w:val="none" w:sz="0" w:space="0" w:color="auto"/>
      </w:divBdr>
    </w:div>
    <w:div w:id="475487152">
      <w:bodyDiv w:val="1"/>
      <w:marLeft w:val="0"/>
      <w:marRight w:val="0"/>
      <w:marTop w:val="0"/>
      <w:marBottom w:val="0"/>
      <w:divBdr>
        <w:top w:val="none" w:sz="0" w:space="0" w:color="auto"/>
        <w:left w:val="none" w:sz="0" w:space="0" w:color="auto"/>
        <w:bottom w:val="none" w:sz="0" w:space="0" w:color="auto"/>
        <w:right w:val="none" w:sz="0" w:space="0" w:color="auto"/>
      </w:divBdr>
    </w:div>
    <w:div w:id="609045306">
      <w:bodyDiv w:val="1"/>
      <w:marLeft w:val="0"/>
      <w:marRight w:val="0"/>
      <w:marTop w:val="0"/>
      <w:marBottom w:val="0"/>
      <w:divBdr>
        <w:top w:val="none" w:sz="0" w:space="0" w:color="auto"/>
        <w:left w:val="none" w:sz="0" w:space="0" w:color="auto"/>
        <w:bottom w:val="none" w:sz="0" w:space="0" w:color="auto"/>
        <w:right w:val="none" w:sz="0" w:space="0" w:color="auto"/>
      </w:divBdr>
    </w:div>
    <w:div w:id="870725189">
      <w:bodyDiv w:val="1"/>
      <w:marLeft w:val="0"/>
      <w:marRight w:val="0"/>
      <w:marTop w:val="0"/>
      <w:marBottom w:val="0"/>
      <w:divBdr>
        <w:top w:val="none" w:sz="0" w:space="0" w:color="auto"/>
        <w:left w:val="none" w:sz="0" w:space="0" w:color="auto"/>
        <w:bottom w:val="none" w:sz="0" w:space="0" w:color="auto"/>
        <w:right w:val="none" w:sz="0" w:space="0" w:color="auto"/>
      </w:divBdr>
    </w:div>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1520974106">
      <w:bodyDiv w:val="1"/>
      <w:marLeft w:val="0"/>
      <w:marRight w:val="0"/>
      <w:marTop w:val="0"/>
      <w:marBottom w:val="0"/>
      <w:divBdr>
        <w:top w:val="none" w:sz="0" w:space="0" w:color="auto"/>
        <w:left w:val="none" w:sz="0" w:space="0" w:color="auto"/>
        <w:bottom w:val="none" w:sz="0" w:space="0" w:color="auto"/>
        <w:right w:val="none" w:sz="0" w:space="0" w:color="auto"/>
      </w:divBdr>
    </w:div>
    <w:div w:id="17124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com/sustainability-broch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com/int/company/our_company/who_we_are/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2.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3.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4.xml><?xml version="1.0" encoding="utf-8"?>
<ds:datastoreItem xmlns:ds="http://schemas.openxmlformats.org/officeDocument/2006/customXml" ds:itemID="{D1BCFA2C-820C-467F-80E6-06234784B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3356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u-OS Data Hub</dc:title>
  <dc:subject/>
  <dc:creator>presse@weidmueller.com</dc:creator>
  <cp:keywords/>
  <dc:description/>
  <cp:lastModifiedBy>Bayer, Katharina</cp:lastModifiedBy>
  <cp:revision>32</cp:revision>
  <dcterms:created xsi:type="dcterms:W3CDTF">2024-07-08T05:00:00Z</dcterms:created>
  <dcterms:modified xsi:type="dcterms:W3CDTF">2024-11-06T09:12:00Z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