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C75B5" w:rsidR="004C75B5" w:rsidP="004C75B5" w:rsidRDefault="004C75B5" w14:paraId="148BE8A7" w14:textId="77777777">
      <w:pPr>
        <w:spacing w:line="360" w:lineRule="auto"/>
        <w:rPr>
          <w:rFonts w:cs="Arial"/>
          <w:b/>
          <w:bCs/>
          <w:szCs w:val="22"/>
          <w:shd w:val="clear" w:color="auto" w:fill="FFFFFF"/>
          <w:lang w:val="de-DE"/>
        </w:rPr>
      </w:pPr>
      <w:r w:rsidRPr="004C75B5">
        <w:rPr>
          <w:rFonts w:cs="Arial"/>
          <w:b/>
          <w:bCs/>
          <w:szCs w:val="22"/>
          <w:shd w:val="clear" w:color="auto" w:fill="FFFFFF"/>
          <w:lang w:val="de-DE"/>
        </w:rPr>
        <w:t xml:space="preserve">Weidmüller VARITECTOR PU: Überspannungsschutz für Photovoltaik-Anlagen </w:t>
      </w:r>
    </w:p>
    <w:p w:rsidRPr="004C75B5" w:rsidR="004C75B5" w:rsidP="004C75B5" w:rsidRDefault="004C75B5" w14:paraId="164D4E10" w14:textId="77777777">
      <w:pPr>
        <w:spacing w:line="360" w:lineRule="auto"/>
        <w:rPr>
          <w:rFonts w:cs="Arial"/>
          <w:b/>
          <w:bCs/>
          <w:szCs w:val="22"/>
          <w:shd w:val="clear" w:color="auto" w:fill="FFFFFF"/>
          <w:lang w:val="de-DE"/>
        </w:rPr>
      </w:pPr>
    </w:p>
    <w:p w:rsidRPr="004C75B5" w:rsidR="004C75B5" w:rsidP="004C75B5" w:rsidRDefault="004C75B5" w14:paraId="5C35039C" w14:textId="77441C83">
      <w:pPr>
        <w:spacing w:line="360" w:lineRule="auto"/>
        <w:rPr>
          <w:rFonts w:cs="Arial"/>
          <w:i/>
          <w:iCs/>
          <w:szCs w:val="22"/>
          <w:shd w:val="clear" w:color="auto" w:fill="FFFFFF"/>
          <w:lang w:val="de-DE"/>
        </w:rPr>
      </w:pPr>
      <w:r w:rsidRPr="004C75B5">
        <w:rPr>
          <w:rFonts w:cs="Arial"/>
          <w:i/>
          <w:iCs/>
          <w:szCs w:val="22"/>
          <w:shd w:val="clear" w:color="auto" w:fill="FFFFFF"/>
          <w:lang w:val="de-DE"/>
        </w:rPr>
        <w:t>Kompaktes Design und VARITECTOR Schutztechnologie für maximale Systemverfügbarkeit. Fünfpoliger Überspannungsschutz für 1.500 V DC Applikationen.</w:t>
      </w:r>
    </w:p>
    <w:p w:rsidRPr="004C75B5" w:rsidR="004C75B5" w:rsidP="004C75B5" w:rsidRDefault="004C75B5" w14:paraId="78D84D63" w14:textId="77777777">
      <w:pPr>
        <w:spacing w:line="360" w:lineRule="auto"/>
        <w:rPr>
          <w:rFonts w:cs="Arial"/>
          <w:b/>
          <w:bCs/>
          <w:szCs w:val="22"/>
          <w:shd w:val="clear" w:color="auto" w:fill="FFFFFF"/>
          <w:lang w:val="de-DE"/>
        </w:rPr>
      </w:pPr>
    </w:p>
    <w:p w:rsidRPr="004C75B5" w:rsidR="004C75B5" w:rsidP="004C75B5" w:rsidRDefault="004C75B5" w14:paraId="1D1DC761" w14:textId="77777777">
      <w:pPr>
        <w:spacing w:line="360" w:lineRule="auto"/>
        <w:rPr>
          <w:rFonts w:cs="Arial"/>
          <w:b/>
          <w:bCs/>
          <w:szCs w:val="22"/>
          <w:lang w:val="de-DE"/>
        </w:rPr>
      </w:pPr>
      <w:r w:rsidRPr="004C75B5">
        <w:rPr>
          <w:rFonts w:cs="Arial"/>
          <w:b/>
          <w:bCs/>
          <w:szCs w:val="22"/>
          <w:lang w:val="de-DE"/>
        </w:rPr>
        <w:t xml:space="preserve">Photovoltaikanlagen, </w:t>
      </w:r>
      <w:r w:rsidRPr="004C75B5">
        <w:rPr>
          <w:rFonts w:cs="Arial"/>
          <w:b/>
          <w:bCs/>
          <w:szCs w:val="22"/>
          <w:lang w:val="de-DE" w:eastAsia="de-DE"/>
        </w:rPr>
        <w:t xml:space="preserve">ein entscheidender Träger der Energiewende, </w:t>
      </w:r>
      <w:r w:rsidRPr="004C75B5">
        <w:rPr>
          <w:rFonts w:cs="Arial"/>
          <w:b/>
          <w:bCs/>
          <w:szCs w:val="22"/>
          <w:lang w:val="de-DE"/>
        </w:rPr>
        <w:t>langfristig wirtschaftlich und effizient betreiben</w:t>
      </w:r>
    </w:p>
    <w:p w:rsidRPr="004C75B5" w:rsidR="004C75B5" w:rsidP="004C75B5" w:rsidRDefault="004C75B5" w14:paraId="1A7683D2" w14:textId="77777777">
      <w:pPr>
        <w:spacing w:line="360" w:lineRule="auto"/>
        <w:rPr>
          <w:rFonts w:cs="Arial"/>
          <w:szCs w:val="22"/>
          <w:lang w:val="de-DE"/>
        </w:rPr>
      </w:pPr>
    </w:p>
    <w:p w:rsidRPr="004C75B5" w:rsidR="004C75B5" w:rsidP="004C75B5" w:rsidRDefault="004C75B5" w14:paraId="4FABCFE0" w14:textId="77777777">
      <w:pPr>
        <w:spacing w:line="360" w:lineRule="auto"/>
        <w:rPr>
          <w:rFonts w:cs="Arial"/>
          <w:szCs w:val="22"/>
          <w:shd w:val="clear" w:color="auto" w:fill="FFFFFF"/>
          <w:lang w:val="de-DE"/>
        </w:rPr>
      </w:pPr>
      <w:r w:rsidRPr="004C75B5">
        <w:rPr>
          <w:rFonts w:cs="Arial"/>
          <w:szCs w:val="22"/>
          <w:shd w:val="clear" w:color="auto" w:fill="FFFFFF"/>
          <w:lang w:val="de-DE"/>
        </w:rPr>
        <w:t xml:space="preserve">Jahr für </w:t>
      </w:r>
      <w:r w:rsidRPr="004C75B5">
        <w:rPr>
          <w:rFonts w:cs="Arial"/>
          <w:szCs w:val="22"/>
          <w:lang w:val="de-DE"/>
        </w:rPr>
        <w:t xml:space="preserve">Jahr werden Photovoltaik-Aufdachanlagen und Photovoltaik-Parks installiert, die Hunderte von Megawatt Strom erzeugen. </w:t>
      </w:r>
      <w:r w:rsidRPr="004C75B5">
        <w:rPr>
          <w:rFonts w:cs="Arial"/>
          <w:szCs w:val="22"/>
          <w:shd w:val="clear" w:color="auto" w:fill="FFFFFF"/>
          <w:lang w:val="de-DE"/>
        </w:rPr>
        <w:t xml:space="preserve">Um diese Investition hinsichtlich Anlagenverfügbarkeit und Sicherheit zu schützen, muss der Blitz- und Überspannungsschutz schon in der Anlagenkonzeption verankert sein. </w:t>
      </w:r>
      <w:r w:rsidRPr="004C75B5">
        <w:rPr>
          <w:rFonts w:cs="Arial"/>
          <w:szCs w:val="22"/>
          <w:lang w:val="de-DE"/>
        </w:rPr>
        <w:t>Blitzeinschläge oder Netzstörungen können teure Reparaturen und Ausfallzeiten verursachen. Der Schutz vor Blitz- und Überspannung hilft, finanzielle Risiken zu minimieren und die langfristige Rentabilität der Photovoltaik-Anlage zu sichern. Jetzt erweitert Weidmüller sein Überspannungsschutzportfolio für PV-Anlagen um eine 5-polige Variante vom Typ I+II für zwei MPPTs. Mit dem neuen fünfpoligen Überspannungsschutz VARITECTOR PU PV I+II 5 1500 schützen Sie Ihre Anlage mit neuester Technologie und noch dazu besonders platzsparend.</w:t>
      </w:r>
    </w:p>
    <w:p w:rsidRPr="004C75B5" w:rsidR="004C75B5" w:rsidP="004C75B5" w:rsidRDefault="004C75B5" w14:paraId="0D52B43F" w14:textId="77777777">
      <w:pPr>
        <w:spacing w:line="360" w:lineRule="auto"/>
        <w:rPr>
          <w:rFonts w:cs="Arial"/>
          <w:szCs w:val="22"/>
          <w:lang w:val="de-DE"/>
        </w:rPr>
      </w:pPr>
    </w:p>
    <w:p w:rsidRPr="004C75B5" w:rsidR="004C75B5" w:rsidP="004C75B5" w:rsidRDefault="004C75B5" w14:paraId="38D98FA2" w14:textId="77777777">
      <w:pPr>
        <w:spacing w:line="360" w:lineRule="auto"/>
        <w:rPr>
          <w:rFonts w:cs="Arial"/>
          <w:szCs w:val="22"/>
          <w:lang w:val="de-DE"/>
        </w:rPr>
      </w:pPr>
      <w:r w:rsidRPr="004C75B5">
        <w:rPr>
          <w:rFonts w:cs="Arial"/>
          <w:szCs w:val="22"/>
          <w:lang w:val="de-DE"/>
        </w:rPr>
        <w:t>Photovoltaik-Anlagen bieten eine nachhaltige und umweltfreundliche Möglichkeit der Stromerzeugung und sind eine der beliebtesten Investitionen im Bereich der erneuerbaren Energien.</w:t>
      </w:r>
    </w:p>
    <w:p w:rsidRPr="004C75B5" w:rsidR="004C75B5" w:rsidP="004C75B5" w:rsidRDefault="004C75B5" w14:paraId="0D67FCEA" w14:textId="77777777">
      <w:pPr>
        <w:spacing w:line="360" w:lineRule="auto"/>
        <w:rPr>
          <w:rFonts w:cs="Arial"/>
          <w:szCs w:val="22"/>
          <w:lang w:val="de-DE"/>
        </w:rPr>
      </w:pPr>
      <w:r w:rsidRPr="004C75B5">
        <w:rPr>
          <w:rFonts w:cs="Arial"/>
          <w:szCs w:val="22"/>
          <w:lang w:val="de-DE"/>
        </w:rPr>
        <w:t xml:space="preserve">Allerdings sind PV-Systeme Umwelteinflüssen direkt ausgesetzt, da sie normalerweise immer an exponierten Standorten installiert werden. Die Wahrscheinlichkeit eines direkten Blitzeinschlages oder eines Einschlages in der Nähe und eine damit resultierende Überspannung sind sehr hoch. Die negativen Auswirkungen eines Blitzeinschlages können noch im Umkreis von bis zu zwei Kilometern auftreten. Daher sind die Auswahl und Installation </w:t>
      </w:r>
      <w:r w:rsidRPr="004C75B5">
        <w:rPr>
          <w:rFonts w:cs="Arial"/>
          <w:szCs w:val="22"/>
          <w:lang w:val="de-DE"/>
        </w:rPr>
        <w:lastRenderedPageBreak/>
        <w:t>eines effektiven Überspannungsschutzes von entscheidender Bedeutung, um die Zuverlässigkeit und Lebensdauer der Anlage zu gewährleisten.</w:t>
      </w:r>
    </w:p>
    <w:p w:rsidRPr="004C75B5" w:rsidR="004C75B5" w:rsidP="004C75B5" w:rsidRDefault="004C75B5" w14:paraId="695E6649" w14:textId="77777777">
      <w:pPr>
        <w:spacing w:line="360" w:lineRule="auto"/>
        <w:rPr>
          <w:rFonts w:cs="Arial"/>
          <w:szCs w:val="22"/>
          <w:lang w:val="de-DE"/>
        </w:rPr>
      </w:pPr>
      <w:r w:rsidRPr="004C75B5">
        <w:rPr>
          <w:rFonts w:cs="Arial"/>
          <w:szCs w:val="22"/>
          <w:lang w:val="de-DE"/>
        </w:rPr>
        <w:t xml:space="preserve">Der neue fünfpolige PV-Überspannungsschutz von Weidmüller integriert sowohl den Typ I- als auch den Typ II-Schutz in einer einzigen Einheit. Dadurch wird eine umfassende Absicherung gegen direkte Blitzeinschläge (Typ I) sowie indirekte Überspannungen (Typ II) gewährleistet. </w:t>
      </w:r>
    </w:p>
    <w:p w:rsidRPr="004C75B5" w:rsidR="004C75B5" w:rsidP="004C75B5" w:rsidRDefault="004C75B5" w14:paraId="6586F115" w14:textId="77777777">
      <w:pPr>
        <w:spacing w:line="360" w:lineRule="auto"/>
        <w:rPr>
          <w:rFonts w:cs="Arial"/>
          <w:szCs w:val="22"/>
          <w:lang w:val="de-DE"/>
        </w:rPr>
      </w:pPr>
      <w:r w:rsidRPr="004C75B5">
        <w:rPr>
          <w:rFonts w:cs="Arial"/>
          <w:szCs w:val="22"/>
          <w:lang w:val="de-DE"/>
        </w:rPr>
        <w:t>Da beide Schutztypen in einer Einheit integriert sind, gestaltet sich die Anlagenplanung einfacher und effizienter. Dies kann zu einer Kostenersparnis bei der Installation führen, da weniger separate Komponenten erforderlich sind. Die Normkonformität gemäß der neu</w:t>
      </w:r>
      <w:r w:rsidRPr="004C75B5">
        <w:rPr>
          <w:rFonts w:cs="Arial"/>
          <w:szCs w:val="22"/>
          <w:lang w:val="de-DE"/>
        </w:rPr>
        <w:softHyphen/>
        <w:t>sten IEC / EN 61643-32 gewährleistet den internationalen Einsatz.</w:t>
      </w:r>
    </w:p>
    <w:p w:rsidRPr="004C75B5" w:rsidR="004C75B5" w:rsidP="004C75B5" w:rsidRDefault="004C75B5" w14:paraId="79D8D906" w14:textId="7B5CC3DC">
      <w:pPr>
        <w:spacing w:line="360" w:lineRule="auto"/>
        <w:rPr>
          <w:rFonts w:cs="Arial"/>
          <w:szCs w:val="22"/>
          <w:lang w:val="de-DE"/>
        </w:rPr>
      </w:pPr>
      <w:r w:rsidRPr="004C75B5">
        <w:rPr>
          <w:rFonts w:cs="Arial"/>
          <w:szCs w:val="22"/>
          <w:lang w:val="de-DE"/>
        </w:rPr>
        <w:t>Der fünfpolige VPU PV ist mit steckbaren Ableitern ausgestattet. Dies ermöglicht einen werkzeuglosen, schnellen und kosten</w:t>
      </w:r>
      <w:r w:rsidRPr="004C75B5">
        <w:rPr>
          <w:rFonts w:cs="Arial"/>
          <w:szCs w:val="22"/>
          <w:lang w:val="de-DE"/>
        </w:rPr>
        <w:softHyphen/>
        <w:t>effizienten Austausch – auch einzelner Ableiter. Die integrierte Statusanzeige der einzelnen Ableiter vereinfacht die Sichtprüfung und Kontrolle der Komponenten. Mit einem gemeinsamen Potential-Bezugspunkt werden zwei MPP-Tracker mit nur einem Produkt geschützt und das bei einer Baubreite von nur 5 TE. Das spart Zeit, Kosten und Platz.</w:t>
      </w:r>
      <w:r>
        <w:rPr>
          <w:rFonts w:cs="Arial"/>
          <w:szCs w:val="22"/>
          <w:lang w:val="de-DE"/>
        </w:rPr>
        <w:t xml:space="preserve"> </w:t>
      </w:r>
      <w:r w:rsidRPr="004C75B5">
        <w:rPr>
          <w:rFonts w:cs="Arial"/>
          <w:szCs w:val="22"/>
          <w:lang w:val="de-DE"/>
        </w:rPr>
        <w:t>Der Überspannungsschutz-Ableiter ist für PV-Anlagen mit einer Systemspannung von 1500 V DC ausgelegt. Einer der Hauptvorteile von 1500 V PV-Systemen liegt in der Effizienzsteigerung. Durch die Erhöhung der Betriebsspannung können höhere Leistungen übertragen werden, was zu einer verbesserten Energieerzeugung führt.</w:t>
      </w:r>
    </w:p>
    <w:p w:rsidRPr="004C75B5" w:rsidR="004C75B5" w:rsidP="004C75B5" w:rsidRDefault="004C75B5" w14:paraId="0F0AB850" w14:textId="77777777">
      <w:pPr>
        <w:spacing w:line="360" w:lineRule="auto"/>
        <w:rPr>
          <w:rFonts w:cs="Arial"/>
          <w:szCs w:val="22"/>
          <w:lang w:val="de-DE"/>
        </w:rPr>
      </w:pPr>
      <w:r w:rsidRPr="004C75B5">
        <w:rPr>
          <w:rFonts w:cs="Arial"/>
          <w:szCs w:val="22"/>
          <w:lang w:val="de-DE"/>
        </w:rPr>
        <w:t xml:space="preserve">Die neuen Überspannungsschutzgeräte VPU PV verfügen über eine maximale Kurzschlussfestigkeit, d.h. PV-Anlagen mit vielen Solarpanels in einem String werden mit bis zu 11 kA des möglichen Kurzschlussstroms geschützt. Weitere Schutzelemente sind nicht notwendig. </w:t>
      </w:r>
    </w:p>
    <w:p w:rsidRPr="004C75B5" w:rsidR="004C75B5" w:rsidP="004C75B5" w:rsidRDefault="004C75B5" w14:paraId="294D95BA" w14:textId="77777777">
      <w:pPr>
        <w:spacing w:line="360" w:lineRule="auto"/>
        <w:rPr>
          <w:rFonts w:cs="Arial"/>
          <w:szCs w:val="22"/>
          <w:lang w:val="de-DE"/>
        </w:rPr>
      </w:pPr>
      <w:r w:rsidRPr="004C75B5">
        <w:rPr>
          <w:rFonts w:cs="Arial"/>
          <w:szCs w:val="22"/>
          <w:lang w:val="de-DE"/>
        </w:rPr>
        <w:t>Installationsorte von Photovoltaik-Anlagen befinden sich oftmals auch in Höhen bis zu 4.000 m. Die Überspannungsschutzgeräte von Weidmüller sind so ausge</w:t>
      </w:r>
      <w:r w:rsidRPr="004C75B5">
        <w:rPr>
          <w:rFonts w:cs="Arial"/>
          <w:szCs w:val="22"/>
          <w:lang w:val="de-DE"/>
        </w:rPr>
        <w:softHyphen/>
        <w:t>legt, dass sie auch PV-Anlagen an diesen exponierten Orten zuverlässig schützen. Eine zu</w:t>
      </w:r>
      <w:r w:rsidRPr="004C75B5">
        <w:rPr>
          <w:rFonts w:cs="Arial"/>
          <w:szCs w:val="22"/>
          <w:lang w:val="de-DE"/>
        </w:rPr>
        <w:softHyphen/>
        <w:t xml:space="preserve">sätzliche Risikobewertung in Richtung einer Leistungsminderung – üblich für Anlagen in diesen Höhen – ist nicht erforderlich.  </w:t>
      </w:r>
    </w:p>
    <w:p w:rsidRPr="004C75B5" w:rsidR="004C75B5" w:rsidP="004C75B5" w:rsidRDefault="004C75B5" w14:paraId="2075D10C" w14:textId="77777777">
      <w:pPr>
        <w:spacing w:line="360" w:lineRule="auto"/>
        <w:rPr>
          <w:rStyle w:val="Fett"/>
          <w:rFonts w:cs="Arial"/>
          <w:b w:val="0"/>
          <w:bCs w:val="0"/>
          <w:szCs w:val="22"/>
          <w:shd w:val="clear" w:color="auto" w:fill="FFFFFF"/>
          <w:lang w:val="de-DE"/>
        </w:rPr>
      </w:pPr>
    </w:p>
    <w:p w:rsidR="0035133B" w:rsidP="0035133B" w:rsidRDefault="004C75B5" w14:paraId="514C099E" w14:textId="4B58B6DB">
      <w:pPr>
        <w:spacing w:line="360" w:lineRule="auto"/>
        <w:rPr>
          <w:rFonts w:cs="Arial"/>
          <w:szCs w:val="22"/>
          <w:lang w:val="de-DE"/>
        </w:rPr>
      </w:pPr>
      <w:r w:rsidRPr="0BCD4967" w:rsidR="004C75B5">
        <w:rPr>
          <w:rFonts w:cs="Arial"/>
          <w:lang w:val="de-DE"/>
        </w:rPr>
        <w:t>Zu beachten ist, dass Überspannungsschutz für PV-Anlagen immer zwei Seiten hat: Sowohl auf der Gleichspannungs- (DC) als auch auf der Wechselspannungsseite (AC) wird ein entsprechender Überspannungsschutz benötigt, um beide Bereiche zu schützen. Mit über zwei Jahrzehnten Erfahrung im Bereich Überspannungsschutz bietet Weidmüller ein wegweisendes, umfangreiches Produktprogramm sowohl für den DC- als auch für den AC-Schutz an. Die effektiven Blitz- und Überspannungsschutz- Komponenten tragen dazu bei, die Lebensdauer der elektronischen Komponenten in der Photovoltaik-Anlage und der AC-Installation zu verlängern. Dies ist entscheidend für eine langfristige und zuverlässige Energieerzeugung.</w:t>
      </w:r>
    </w:p>
    <w:p w:rsidR="0BCD4967" w:rsidP="0BCD4967" w:rsidRDefault="0BCD4967" w14:paraId="6F2F67E2" w14:textId="6A0B8BE8">
      <w:pPr>
        <w:pStyle w:val="Standard"/>
        <w:spacing w:line="360" w:lineRule="auto"/>
        <w:rPr>
          <w:rFonts w:cs="Arial"/>
          <w:lang w:val="de-DE"/>
        </w:rPr>
      </w:pPr>
    </w:p>
    <w:p w:rsidR="0E92307F" w:rsidP="0BCD4967" w:rsidRDefault="0E92307F" w14:paraId="4A34BF48" w14:textId="42456125">
      <w:pPr>
        <w:pStyle w:val="Standard"/>
        <w:spacing w:line="360" w:lineRule="auto"/>
        <w:rPr>
          <w:rFonts w:cs="Arial"/>
          <w:b w:val="1"/>
          <w:bCs w:val="1"/>
          <w:lang w:val="de-DE"/>
        </w:rPr>
      </w:pPr>
      <w:r w:rsidRPr="0BCD4967" w:rsidR="0E92307F">
        <w:rPr>
          <w:rFonts w:cs="Arial"/>
          <w:b w:val="1"/>
          <w:bCs w:val="1"/>
          <w:lang w:val="de-DE"/>
        </w:rPr>
        <w:t>Montagefertige Lösung für eine schnelle Installation</w:t>
      </w:r>
    </w:p>
    <w:p w:rsidR="1A7049D2" w:rsidP="0BCD4967" w:rsidRDefault="1A7049D2" w14:paraId="0DCF6CA1" w14:textId="0FD51B20">
      <w:pPr>
        <w:pStyle w:val="Standard"/>
        <w:suppressLineNumbers w:val="0"/>
        <w:bidi w:val="0"/>
        <w:spacing w:before="0" w:beforeAutospacing="off" w:after="0" w:afterAutospacing="off" w:line="360" w:lineRule="auto"/>
        <w:ind w:left="0" w:right="0"/>
        <w:jc w:val="left"/>
        <w:rPr>
          <w:rFonts w:cs="Arial"/>
          <w:noProof w:val="0"/>
          <w:lang w:val="de-DE"/>
        </w:rPr>
      </w:pPr>
      <w:r w:rsidRPr="0BCD4967" w:rsidR="1A7049D2">
        <w:rPr>
          <w:rFonts w:cs="Arial"/>
          <w:noProof w:val="0"/>
          <w:lang w:val="de-DE"/>
        </w:rPr>
        <w:t>Neben d</w:t>
      </w:r>
      <w:r w:rsidRPr="0BCD4967" w:rsidR="306D131A">
        <w:rPr>
          <w:rFonts w:cs="Arial"/>
          <w:noProof w:val="0"/>
          <w:lang w:val="de-DE"/>
        </w:rPr>
        <w:t xml:space="preserve">en oben aufgeführten </w:t>
      </w:r>
      <w:r w:rsidRPr="0BCD4967" w:rsidR="1A7049D2">
        <w:rPr>
          <w:rFonts w:cs="Arial"/>
          <w:noProof w:val="0"/>
          <w:lang w:val="de-DE"/>
        </w:rPr>
        <w:t>Komponenten bietet Weidmüller fertig</w:t>
      </w:r>
      <w:r w:rsidRPr="0BCD4967" w:rsidR="2F6108A0">
        <w:rPr>
          <w:rFonts w:cs="Arial"/>
          <w:noProof w:val="0"/>
          <w:lang w:val="de-DE"/>
        </w:rPr>
        <w:t xml:space="preserve"> assemblierte Generatoranschlusskästen </w:t>
      </w:r>
      <w:r w:rsidRPr="0BCD4967" w:rsidR="1A7049D2">
        <w:rPr>
          <w:rFonts w:cs="Arial"/>
          <w:noProof w:val="0"/>
          <w:lang w:val="de-DE"/>
        </w:rPr>
        <w:t xml:space="preserve">für den Schutz gegen Überspannungen in PV-Anlagen an. </w:t>
      </w:r>
      <w:r w:rsidRPr="0BCD4967" w:rsidR="1E8E5D36">
        <w:rPr>
          <w:rFonts w:cs="Arial"/>
          <w:noProof w:val="0"/>
          <w:lang w:val="de-DE"/>
        </w:rPr>
        <w:t xml:space="preserve">Hierbei ist der </w:t>
      </w:r>
      <w:r w:rsidRPr="0BCD4967" w:rsidR="61D53710">
        <w:rPr>
          <w:rFonts w:cs="Arial"/>
          <w:noProof w:val="0"/>
          <w:lang w:val="de-DE"/>
        </w:rPr>
        <w:t>Überspannung</w:t>
      </w:r>
      <w:r w:rsidRPr="0BCD4967" w:rsidR="5771D80F">
        <w:rPr>
          <w:rFonts w:cs="Arial"/>
          <w:noProof w:val="0"/>
          <w:lang w:val="de-DE"/>
        </w:rPr>
        <w:t>s</w:t>
      </w:r>
      <w:r w:rsidRPr="0BCD4967" w:rsidR="61D53710">
        <w:rPr>
          <w:rFonts w:cs="Arial"/>
          <w:noProof w:val="0"/>
          <w:lang w:val="de-DE"/>
        </w:rPr>
        <w:t>schu</w:t>
      </w:r>
      <w:r w:rsidRPr="0BCD4967" w:rsidR="02DB62CA">
        <w:rPr>
          <w:rFonts w:cs="Arial"/>
          <w:noProof w:val="0"/>
          <w:lang w:val="de-DE"/>
        </w:rPr>
        <w:t>t</w:t>
      </w:r>
      <w:r w:rsidRPr="0BCD4967" w:rsidR="61D53710">
        <w:rPr>
          <w:rFonts w:cs="Arial"/>
          <w:noProof w:val="0"/>
          <w:lang w:val="de-DE"/>
        </w:rPr>
        <w:t xml:space="preserve">z </w:t>
      </w:r>
      <w:r w:rsidRPr="0BCD4967" w:rsidR="1A7049D2">
        <w:rPr>
          <w:rFonts w:cs="Arial"/>
          <w:noProof w:val="0"/>
          <w:lang w:val="de-DE"/>
        </w:rPr>
        <w:t>in ein IP65 Gehäuse integriert und verkabelt. Der Anschluss erfolgt einfach über PV-Steckerverbinder, die am Gehäuse montiert sind. Die Erdleitung wird über Kabelverschraubungen nach außen geführt.</w:t>
      </w:r>
      <w:r w:rsidRPr="0BCD4967" w:rsidR="517AA7B9">
        <w:rPr>
          <w:rFonts w:cs="Arial"/>
          <w:noProof w:val="0"/>
          <w:lang w:val="de-DE"/>
        </w:rPr>
        <w:t xml:space="preserve"> </w:t>
      </w:r>
      <w:r w:rsidRPr="0BCD4967" w:rsidR="517AA7B9">
        <w:rPr>
          <w:rFonts w:ascii="Arial" w:hAnsi="Arial" w:eastAsia="Arial" w:cs="Arial"/>
          <w:noProof w:val="0"/>
          <w:sz w:val="22"/>
          <w:szCs w:val="22"/>
          <w:lang w:val="de-DE"/>
        </w:rPr>
        <w:t>Auch diese Lösung gewährleistet einen umfassenden Schutz und eine einfache Installation für PV-Anlagen und unterstreicht Weidmüllers Engagement für innovative und benutzerfreundliche Lösungen.</w:t>
      </w:r>
    </w:p>
    <w:p w:rsidR="0035133B" w:rsidP="0035133B" w:rsidRDefault="0035133B" w14:paraId="30DE1977" w14:textId="77777777">
      <w:pPr>
        <w:spacing w:line="360" w:lineRule="auto"/>
        <w:rPr>
          <w:rFonts w:cs="Arial"/>
          <w:szCs w:val="22"/>
          <w:lang w:val="de-DE"/>
        </w:rPr>
      </w:pPr>
    </w:p>
    <w:p w:rsidRPr="0035133B" w:rsidR="0035133B" w:rsidP="0BCD4967" w:rsidRDefault="0035133B" w14:paraId="5DA6FE6E" w14:textId="55B28CB2">
      <w:pPr>
        <w:spacing w:line="360" w:lineRule="auto"/>
        <w:rPr>
          <w:rFonts w:cs="Arial"/>
          <w:sz w:val="18"/>
          <w:szCs w:val="18"/>
          <w:lang w:val="de-DE"/>
        </w:rPr>
      </w:pPr>
      <w:r w:rsidRPr="0BCD4967" w:rsidR="3E4FDD26">
        <w:rPr>
          <w:rFonts w:cs="Arial"/>
          <w:sz w:val="18"/>
          <w:szCs w:val="18"/>
          <w:lang w:val="de-DE"/>
        </w:rPr>
        <w:t>5</w:t>
      </w:r>
      <w:r w:rsidRPr="0BCD4967" w:rsidR="0035133B">
        <w:rPr>
          <w:rFonts w:cs="Arial"/>
          <w:sz w:val="18"/>
          <w:szCs w:val="18"/>
          <w:lang w:val="de-DE"/>
        </w:rPr>
        <w:t>.</w:t>
      </w:r>
      <w:r w:rsidRPr="0BCD4967" w:rsidR="2D69EB1E">
        <w:rPr>
          <w:rFonts w:cs="Arial"/>
          <w:sz w:val="18"/>
          <w:szCs w:val="18"/>
          <w:lang w:val="de-DE"/>
        </w:rPr>
        <w:t>253</w:t>
      </w:r>
      <w:r w:rsidRPr="0BCD4967" w:rsidR="0035133B">
        <w:rPr>
          <w:rFonts w:cs="Arial"/>
          <w:sz w:val="18"/>
          <w:szCs w:val="18"/>
          <w:lang w:val="de-DE"/>
        </w:rPr>
        <w:t xml:space="preserve"> Zeichen inklusive Leerzeichen </w:t>
      </w:r>
    </w:p>
    <w:p w:rsidR="0035133B" w:rsidP="00992005" w:rsidRDefault="0035133B" w14:paraId="23FDAEAC" w14:textId="77777777">
      <w:pPr>
        <w:spacing w:line="360" w:lineRule="auto"/>
        <w:jc w:val="both"/>
        <w:rPr>
          <w:rFonts w:eastAsia="Arial" w:cs="Arial"/>
          <w:color w:val="000000" w:themeColor="text1"/>
          <w:sz w:val="18"/>
          <w:szCs w:val="18"/>
          <w:lang w:val="de-DE"/>
        </w:rPr>
      </w:pPr>
      <w:r w:rsidR="0035133B">
        <w:drawing>
          <wp:inline wp14:editId="52FF005D" wp14:anchorId="52BFDAE3">
            <wp:extent cx="2554978" cy="2554978"/>
            <wp:effectExtent l="0" t="0" r="6985" b="6985"/>
            <wp:docPr id="1" name="Grafik 1" title=""/>
            <wp:cNvGraphicFramePr>
              <a:graphicFrameLocks noChangeAspect="1"/>
            </wp:cNvGraphicFramePr>
            <a:graphic>
              <a:graphicData uri="http://schemas.openxmlformats.org/drawingml/2006/picture">
                <pic:pic>
                  <pic:nvPicPr>
                    <pic:cNvPr id="0" name="Grafik 1"/>
                    <pic:cNvPicPr/>
                  </pic:nvPicPr>
                  <pic:blipFill>
                    <a:blip r:embed="R382e7cb09130413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54978" cy="2554978"/>
                    </a:xfrm>
                    <a:prstGeom prst="rect">
                      <a:avLst/>
                    </a:prstGeom>
                  </pic:spPr>
                </pic:pic>
              </a:graphicData>
            </a:graphic>
          </wp:inline>
        </w:drawing>
      </w:r>
    </w:p>
    <w:p w:rsidRPr="0035133B" w:rsidR="0035133B" w:rsidP="0BCD4967" w:rsidRDefault="0035133B" w14:paraId="22E1A9C4" w14:textId="241B72D7" w14:noSpellErr="1">
      <w:pPr>
        <w:jc w:val="left"/>
        <w:rPr>
          <w:rFonts w:cs="Arial"/>
          <w:sz w:val="20"/>
          <w:szCs w:val="20"/>
          <w:lang w:val="de-DE"/>
        </w:rPr>
      </w:pPr>
      <w:r w:rsidRPr="0BCD4967" w:rsidR="0035133B">
        <w:rPr>
          <w:rFonts w:cs="Arial"/>
          <w:sz w:val="20"/>
          <w:szCs w:val="20"/>
          <w:lang w:val="de-DE"/>
        </w:rPr>
        <w:t>Bildunterschrift: Weidmüller VARITECTOR PU PV: für den zuverlässigen und effizienten Betrieb von PV-Anlage</w:t>
      </w:r>
    </w:p>
    <w:p w:rsidR="0035133B" w:rsidP="00992005" w:rsidRDefault="0035133B" w14:paraId="4FC76EEC" w14:textId="77777777" w14:noSpellErr="1">
      <w:pPr>
        <w:spacing w:line="360" w:lineRule="auto"/>
        <w:jc w:val="both"/>
        <w:rPr>
          <w:rFonts w:eastAsia="Arial" w:cs="Arial"/>
          <w:color w:val="000000" w:themeColor="text1"/>
          <w:sz w:val="18"/>
          <w:szCs w:val="18"/>
          <w:lang w:val="de-DE"/>
        </w:rPr>
      </w:pPr>
    </w:p>
    <w:p w:rsidR="0035133B" w:rsidP="0BCD4967" w:rsidRDefault="0035133B" w14:paraId="74B1F222" w14:textId="46EC17D0">
      <w:pPr>
        <w:pStyle w:val="Standard"/>
        <w:spacing w:line="360" w:lineRule="auto"/>
        <w:jc w:val="both"/>
        <w:rPr>
          <w:rFonts w:eastAsia="Arial" w:cs="Arial"/>
          <w:color w:val="000000" w:themeColor="text1" w:themeTint="FF" w:themeShade="FF"/>
          <w:sz w:val="18"/>
          <w:szCs w:val="18"/>
          <w:lang w:val="de-DE"/>
        </w:rPr>
      </w:pPr>
      <w:r w:rsidR="3B53FEE1">
        <w:drawing>
          <wp:inline wp14:editId="62EBE55B" wp14:anchorId="0078186B">
            <wp:extent cx="3293578" cy="3293578"/>
            <wp:effectExtent l="0" t="0" r="0" b="0"/>
            <wp:docPr id="1446205983" name="" title=""/>
            <wp:cNvGraphicFramePr>
              <a:graphicFrameLocks noChangeAspect="1"/>
            </wp:cNvGraphicFramePr>
            <a:graphic>
              <a:graphicData uri="http://schemas.openxmlformats.org/drawingml/2006/picture">
                <pic:pic>
                  <pic:nvPicPr>
                    <pic:cNvPr id="0" name=""/>
                    <pic:cNvPicPr/>
                  </pic:nvPicPr>
                  <pic:blipFill>
                    <a:blip r:embed="Rc1c978fd9099478e">
                      <a:extLst>
                        <a:ext xmlns:a="http://schemas.openxmlformats.org/drawingml/2006/main" uri="{28A0092B-C50C-407E-A947-70E740481C1C}">
                          <a14:useLocalDpi val="0"/>
                        </a:ext>
                      </a:extLst>
                    </a:blip>
                    <a:stretch>
                      <a:fillRect/>
                    </a:stretch>
                  </pic:blipFill>
                  <pic:spPr>
                    <a:xfrm>
                      <a:off x="0" y="0"/>
                      <a:ext cx="3293578" cy="3293578"/>
                    </a:xfrm>
                    <a:prstGeom prst="rect">
                      <a:avLst/>
                    </a:prstGeom>
                  </pic:spPr>
                </pic:pic>
              </a:graphicData>
            </a:graphic>
          </wp:inline>
        </w:drawing>
      </w:r>
    </w:p>
    <w:p w:rsidR="0035133B" w:rsidP="0BCD4967" w:rsidRDefault="0035133B" w14:paraId="13CA8707" w14:textId="345617FD">
      <w:pPr>
        <w:pStyle w:val="Standard"/>
        <w:spacing w:line="360" w:lineRule="auto"/>
        <w:jc w:val="both"/>
        <w:rPr>
          <w:rFonts w:cs="Arial"/>
          <w:noProof w:val="0"/>
          <w:lang w:val="de-DE"/>
        </w:rPr>
      </w:pPr>
      <w:r w:rsidRPr="0BCD4967" w:rsidR="3B53FEE1">
        <w:rPr>
          <w:rFonts w:cs="Arial"/>
          <w:sz w:val="20"/>
          <w:szCs w:val="20"/>
          <w:lang w:val="de-DE"/>
        </w:rPr>
        <w:t>Bildunterschrift: Fertig assemblierter Generatoranschlusskasten für den Schutz gegen Überspannungen in PV-</w:t>
      </w:r>
      <w:r w:rsidRPr="0BCD4967" w:rsidR="3B53FEE1">
        <w:rPr>
          <w:rFonts w:ascii="Arial" w:hAnsi="Arial" w:eastAsia="Times New Roman" w:cs="Arial"/>
          <w:noProof w:val="0"/>
          <w:color w:val="auto"/>
          <w:sz w:val="20"/>
          <w:szCs w:val="20"/>
          <w:lang w:val="de-DE" w:eastAsia="en-US" w:bidi="ar-SA"/>
        </w:rPr>
        <w:t>Anlagen in</w:t>
      </w:r>
      <w:r w:rsidRPr="0BCD4967" w:rsidR="3B53FEE1">
        <w:rPr>
          <w:rFonts w:ascii="Arial" w:hAnsi="Arial" w:eastAsia="Times New Roman" w:cs="Arial"/>
          <w:noProof w:val="0"/>
          <w:color w:val="auto"/>
          <w:sz w:val="20"/>
          <w:szCs w:val="20"/>
          <w:lang w:val="de-DE" w:eastAsia="en-US" w:bidi="ar-SA"/>
        </w:rPr>
        <w:t xml:space="preserve"> ein IP65 Gehäuse integriert und verkabelt</w:t>
      </w:r>
    </w:p>
    <w:p w:rsidR="0BCD4967" w:rsidP="0BCD4967" w:rsidRDefault="0BCD4967" w14:paraId="15001ACF" w14:textId="2780C045">
      <w:pPr>
        <w:pStyle w:val="Standard"/>
        <w:suppressLineNumbers w:val="0"/>
        <w:bidi w:val="0"/>
        <w:spacing w:line="360" w:lineRule="auto"/>
        <w:jc w:val="both"/>
        <w:rPr>
          <w:rFonts w:cs="Arial"/>
          <w:noProof w:val="0"/>
          <w:lang w:val="de-DE"/>
        </w:rPr>
      </w:pPr>
    </w:p>
    <w:p w:rsidR="0035133B" w:rsidP="0035133B" w:rsidRDefault="0035133B" w14:paraId="4860174B" w14:textId="77777777">
      <w:pPr>
        <w:tabs>
          <w:tab w:val="left" w:pos="1701"/>
        </w:tabs>
        <w:spacing w:line="360" w:lineRule="auto"/>
        <w:jc w:val="both"/>
        <w:rPr>
          <w:rFonts w:eastAsia="Arial" w:cs="Arial"/>
          <w:sz w:val="18"/>
          <w:szCs w:val="18"/>
          <w:lang w:val="de-DE"/>
        </w:rPr>
      </w:pPr>
      <w:r w:rsidRPr="0BCD4967" w:rsidR="0035133B">
        <w:rPr>
          <w:rFonts w:eastAsia="Arial" w:cs="Arial"/>
          <w:sz w:val="18"/>
          <w:szCs w:val="18"/>
          <w:lang w:val="de-DE"/>
        </w:rPr>
        <w:t>Alle Bilder stehen Ihnen zur freien Verfügung. Wir bitten um Nennung der Bildquelle</w:t>
      </w:r>
    </w:p>
    <w:p w:rsidR="0BCD4967" w:rsidP="0BCD4967" w:rsidRDefault="0BCD4967" w14:paraId="5327AB60" w14:textId="3217A2A1">
      <w:pPr>
        <w:pStyle w:val="Standard"/>
        <w:tabs>
          <w:tab w:val="left" w:leader="none" w:pos="1701"/>
        </w:tabs>
        <w:spacing w:line="360" w:lineRule="auto"/>
        <w:jc w:val="both"/>
        <w:rPr>
          <w:rFonts w:eastAsia="Arial" w:cs="Arial"/>
          <w:sz w:val="18"/>
          <w:szCs w:val="18"/>
          <w:lang w:val="de-DE"/>
        </w:rPr>
      </w:pPr>
    </w:p>
    <w:p w:rsidR="0BCD4967" w:rsidP="0BCD4967" w:rsidRDefault="0BCD4967" w14:paraId="7FE09A8D" w14:textId="63D33773">
      <w:pPr>
        <w:pStyle w:val="Standard"/>
        <w:tabs>
          <w:tab w:val="left" w:leader="none" w:pos="1701"/>
        </w:tabs>
        <w:spacing w:line="360" w:lineRule="auto"/>
        <w:jc w:val="both"/>
        <w:rPr>
          <w:rFonts w:eastAsia="Arial" w:cs="Arial"/>
          <w:sz w:val="18"/>
          <w:szCs w:val="18"/>
          <w:lang w:val="de-DE"/>
        </w:rPr>
      </w:pPr>
    </w:p>
    <w:p w:rsidRPr="006153DD" w:rsidR="004C7C05" w:rsidP="004C7C05" w:rsidRDefault="004C7C05" w14:paraId="302E40C0" w14:textId="77777777">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lastRenderedPageBreak/>
        <w:t>Die Weidmüller-Gruppe</w:t>
      </w:r>
      <w:r w:rsidRPr="006153DD">
        <w:rPr>
          <w:rStyle w:val="eop"/>
          <w:rFonts w:ascii="Arial" w:hAnsi="Arial" w:cs="Arial"/>
          <w:sz w:val="18"/>
          <w:szCs w:val="18"/>
        </w:rPr>
        <w:t> </w:t>
      </w:r>
    </w:p>
    <w:p w:rsidRPr="006153DD" w:rsidR="004C7C05" w:rsidP="004C7C05" w:rsidRDefault="004C7C05" w14:paraId="7976C164" w14:textId="77777777">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w:tgtFrame="_blank" w:history="1" w:anchor="wm-1245006" r:id="rId12">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rsidRPr="006153DD" w:rsidR="004C7C05" w:rsidP="004C7C05" w:rsidRDefault="004C7C05" w14:paraId="5BE609A5" w14:textId="77777777">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rsidRPr="006153DD" w:rsidR="004C7C05" w:rsidP="004C7C05" w:rsidRDefault="004C7C05" w14:paraId="230CE392" w14:textId="77777777">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w:tgtFrame="_blank" w:history="1" r:id="rId13">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rsidRPr="006153DD" w:rsidR="004C7C05" w:rsidP="004C7C05" w:rsidRDefault="004C7C05" w14:paraId="40832FB5" w14:textId="77777777">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rsidRPr="006153DD" w:rsidR="004C7C05" w:rsidP="004C7C05" w:rsidRDefault="004C7C05" w14:paraId="03C9FA2A" w14:textId="77777777">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rsidRPr="006153DD" w:rsidR="004C7C05" w:rsidP="004C7C05" w:rsidRDefault="004C7C05" w14:paraId="768ED4B4" w14:textId="77777777">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rsidRPr="006153DD" w:rsidR="004C7C05" w:rsidP="004C7C05" w:rsidRDefault="004C7C05" w14:paraId="6082E71D" w14:textId="77777777">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rsidRPr="006153DD" w:rsidR="004C7C05" w:rsidP="004C7C05" w:rsidRDefault="004C7C05" w14:paraId="18E928C4" w14:textId="77777777">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w:tgtFrame="_blank" w:history="1" r:id="rId14">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rsidRPr="006153DD" w:rsidR="004C7C05" w:rsidP="004C7C05" w:rsidRDefault="004C7C05" w14:paraId="43CDA9E4" w14:textId="77777777">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p w:rsidRPr="003855D0" w:rsidR="0D2465AE" w:rsidP="00992005" w:rsidRDefault="00577469" w14:paraId="4358EEC9" w14:textId="30F72170">
      <w:pPr>
        <w:spacing w:line="360" w:lineRule="auto"/>
        <w:jc w:val="both"/>
        <w:rPr>
          <w:rFonts w:eastAsia="Arial" w:cs="Arial"/>
          <w:color w:val="000000" w:themeColor="text1"/>
          <w:sz w:val="18"/>
          <w:szCs w:val="18"/>
          <w:lang w:val="de-DE"/>
        </w:rPr>
      </w:pPr>
      <w:r w:rsidRPr="00800F50">
        <w:rPr>
          <w:rFonts w:eastAsia="Arial" w:cs="Arial"/>
          <w:noProof/>
          <w:sz w:val="18"/>
          <w:szCs w:val="18"/>
          <w:lang w:val="de-DE"/>
        </w:rPr>
        <mc:AlternateContent>
          <mc:Choice Requires="wps">
            <w:drawing>
              <wp:anchor distT="45720" distB="45720" distL="114300" distR="114300" simplePos="0" relativeHeight="251658241" behindDoc="0" locked="0" layoutInCell="1" allowOverlap="1" wp14:anchorId="4DB26417" wp14:editId="72B29A2A">
                <wp:simplePos x="0" y="0"/>
                <wp:positionH relativeFrom="column">
                  <wp:posOffset>2765658</wp:posOffset>
                </wp:positionH>
                <wp:positionV relativeFrom="paragraph">
                  <wp:posOffset>468630</wp:posOffset>
                </wp:positionV>
                <wp:extent cx="2638425" cy="1404620"/>
                <wp:effectExtent l="0" t="0" r="9525" b="508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rsidRPr="00800F50" w:rsidR="00CE7D1C" w:rsidP="00CE7D1C" w:rsidRDefault="00CE7D1C" w14:paraId="61EBAB1B" w14:textId="77777777">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26417">
                <v:stroke joinstyle="miter"/>
                <v:path gradientshapeok="t" o:connecttype="rect"/>
              </v:shapetype>
              <v:shape id="Text Box 217" style="position:absolute;left:0;text-align:left;margin-left:217.75pt;margin-top:36.9pt;width:207.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DC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">
                <v:textbox style="mso-fit-shape-to-text:t">
                  <w:txbxContent>
                    <w:p w:rsidRPr="00800F50" w:rsidR="00CE7D1C" w:rsidP="00CE7D1C" w:rsidRDefault="00CE7D1C" w14:paraId="61EBAB1B" w14:textId="77777777">
                      <w:pPr>
                        <w:rPr>
                          <w:lang w:val="de-DE"/>
                        </w:rPr>
                      </w:pPr>
                    </w:p>
                  </w:txbxContent>
                </v:textbox>
                <w10:wrap type="square"/>
              </v:shape>
            </w:pict>
          </mc:Fallback>
        </mc:AlternateContent>
      </w:r>
      <w:r w:rsidRPr="00CE7D1C">
        <w:rPr>
          <w:rFonts w:eastAsia="Arial" w:cs="Arial"/>
          <w:b/>
          <w:bCs/>
          <w:noProof/>
          <w:sz w:val="18"/>
          <w:szCs w:val="18"/>
          <w:lang w:val="de-DE"/>
        </w:rPr>
        <mc:AlternateContent>
          <mc:Choice Requires="wps">
            <w:drawing>
              <wp:anchor distT="45720" distB="45720" distL="114300" distR="114300" simplePos="0" relativeHeight="251658240" behindDoc="0" locked="0" layoutInCell="1" allowOverlap="1" wp14:anchorId="58667A81" wp14:editId="35B1564C">
                <wp:simplePos x="0" y="0"/>
                <wp:positionH relativeFrom="margin">
                  <wp:posOffset>-92597</wp:posOffset>
                </wp:positionH>
                <wp:positionV relativeFrom="paragraph">
                  <wp:posOffset>445207</wp:posOffset>
                </wp:positionV>
                <wp:extent cx="3628663" cy="140462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rsidRPr="00CE7D1C" w:rsidR="00CE7D1C" w:rsidP="00CE7D1C" w:rsidRDefault="00CE7D1C" w14:paraId="16FEE729" w14:textId="77777777">
                            <w:pPr>
                              <w:rPr>
                                <w:lang w:val="de-DE"/>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5" style="position:absolute;left:0;text-align:left;margin-left:-7.3pt;margin-top:35.05pt;width:285.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" w14:anchorId="58667A81">
                <v:textbox style="mso-fit-shape-to-text:t">
                  <w:txbxContent>
                    <w:p w:rsidRPr="00CE7D1C" w:rsidR="00CE7D1C" w:rsidP="00CE7D1C" w:rsidRDefault="00CE7D1C" w14:paraId="16FEE729" w14:textId="77777777">
                      <w:pPr>
                        <w:rPr>
                          <w:lang w:val="de-DE"/>
                          <w14:textOutline w14:w="9525" w14:cap="rnd" w14:cmpd="sng" w14:algn="ctr">
                            <w14:noFill/>
                            <w14:prstDash w14:val="solid"/>
                            <w14:bevel/>
                          </w14:textOutline>
                        </w:rPr>
                      </w:pPr>
                    </w:p>
                  </w:txbxContent>
                </v:textbox>
                <w10:wrap type="square" anchorx="margin"/>
              </v:shape>
            </w:pict>
          </mc:Fallback>
        </mc:AlternateContent>
      </w:r>
    </w:p>
    <w:sectPr w:rsidRPr="003855D0" w:rsidR="0D2465AE" w:rsidSect="002D1AF5">
      <w:headerReference w:type="default" r:id="rId15"/>
      <w:footerReference w:type="default" r:id="rId16"/>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1CCE" w:rsidRDefault="00951CCE" w14:paraId="361BDAEC" w14:textId="77777777">
      <w:r>
        <w:separator/>
      </w:r>
    </w:p>
  </w:endnote>
  <w:endnote w:type="continuationSeparator" w:id="0">
    <w:p w:rsidR="00951CCE" w:rsidRDefault="00951CCE" w14:paraId="5450C435" w14:textId="77777777">
      <w:r>
        <w:continuationSeparator/>
      </w:r>
    </w:p>
  </w:endnote>
  <w:endnote w:type="continuationNotice" w:id="1">
    <w:p w:rsidR="00951CCE" w:rsidRDefault="00951CCE" w14:paraId="19B5782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rsidR="00CE7D1C" w:rsidP="00CE7D1C" w:rsidRDefault="00CE7D1C" w14:paraId="42012685" w14:textId="55A34611">
        <w:pPr>
          <w:tabs>
            <w:tab w:val="left" w:pos="1701"/>
          </w:tabs>
          <w:spacing w:line="360" w:lineRule="auto"/>
          <w:jc w:val="both"/>
          <w:rPr>
            <w:rFonts w:eastAsia="Arial" w:cs="Arial"/>
            <w:sz w:val="18"/>
            <w:szCs w:val="18"/>
            <w:lang w:val="de-DE"/>
          </w:rPr>
        </w:pPr>
      </w:p>
      <w:p w:rsidR="00C55D49" w:rsidP="00C55D49" w:rsidRDefault="00C55D49" w14:paraId="23A84D42" w14:textId="30AF5E0C">
        <w:pPr>
          <w:tabs>
            <w:tab w:val="left" w:pos="1701"/>
          </w:tabs>
          <w:spacing w:line="360" w:lineRule="auto"/>
          <w:rPr>
            <w:rFonts w:eastAsia="Arial" w:cs="Arial"/>
            <w:sz w:val="18"/>
            <w:szCs w:val="18"/>
            <w:lang w:val="de-DE"/>
          </w:rPr>
        </w:pPr>
        <w:r>
          <w:rPr>
            <w:rFonts w:eastAsia="Arial" w:cs="Arial"/>
            <w:sz w:val="18"/>
            <w:szCs w:val="18"/>
            <w:lang w:val="de-DE"/>
          </w:rPr>
          <w:t xml:space="preserve"> </w:t>
        </w:r>
      </w:p>
      <w:p w:rsidR="00F829AE" w:rsidP="00CE7D1C" w:rsidRDefault="00000000" w14:paraId="3C802467" w14:textId="2DB14DBD">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1CCE" w:rsidRDefault="00951CCE" w14:paraId="4CD7234B" w14:textId="77777777">
      <w:r>
        <w:separator/>
      </w:r>
    </w:p>
  </w:footnote>
  <w:footnote w:type="continuationSeparator" w:id="0">
    <w:p w:rsidR="00951CCE" w:rsidRDefault="00951CCE" w14:paraId="4FA814E2" w14:textId="77777777">
      <w:r>
        <w:continuationSeparator/>
      </w:r>
    </w:p>
  </w:footnote>
  <w:footnote w:type="continuationNotice" w:id="1">
    <w:p w:rsidR="00951CCE" w:rsidRDefault="00951CCE" w14:paraId="7A7C024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88EB13A">
    <w:pPr>
      <w:pStyle w:val="Kopfzeile"/>
    </w:pPr>
    <w:proofErr w:type="spellStart"/>
    <w:r>
      <w:rPr>
        <w:sz w:val="32"/>
        <w:szCs w:val="32"/>
      </w:rPr>
      <w:t>Pressemitteilung</w:t>
    </w:r>
    <w:proofErr w:type="spellEnd"/>
    <w:r w:rsidR="00F829AE">
      <w:rPr>
        <w:b/>
        <w:sz w:val="32"/>
        <w:szCs w:val="32"/>
      </w:rPr>
      <w:tab/>
    </w:r>
    <w:r w:rsidR="00F829AE">
      <w:rPr>
        <w:b/>
        <w:sz w:val="32"/>
        <w:szCs w:val="32"/>
      </w:rPr>
      <w:tab/>
    </w:r>
    <w:r w:rsidRPr="003359BF" w:rsidR="00F829AE">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hint="default" w:ascii="Calibri" w:hAnsi="Calibri" w:cs="Calibri" w:eastAsiaTheme="minorHAnsi"/>
      </w:rPr>
    </w:lvl>
    <w:lvl w:ilvl="1" w:tplc="04070003" w:tentative="1">
      <w:start w:val="1"/>
      <w:numFmt w:val="bullet"/>
      <w:lvlText w:val="o"/>
      <w:lvlJc w:val="left"/>
      <w:pPr>
        <w:ind w:left="1790" w:hanging="360"/>
      </w:pPr>
      <w:rPr>
        <w:rFonts w:hint="default" w:ascii="Courier New" w:hAnsi="Courier New" w:cs="Courier New"/>
      </w:rPr>
    </w:lvl>
    <w:lvl w:ilvl="2" w:tplc="04070005" w:tentative="1">
      <w:start w:val="1"/>
      <w:numFmt w:val="bullet"/>
      <w:lvlText w:val=""/>
      <w:lvlJc w:val="left"/>
      <w:pPr>
        <w:ind w:left="2510" w:hanging="360"/>
      </w:pPr>
      <w:rPr>
        <w:rFonts w:hint="default" w:ascii="Wingdings" w:hAnsi="Wingdings"/>
      </w:rPr>
    </w:lvl>
    <w:lvl w:ilvl="3" w:tplc="04070001" w:tentative="1">
      <w:start w:val="1"/>
      <w:numFmt w:val="bullet"/>
      <w:lvlText w:val=""/>
      <w:lvlJc w:val="left"/>
      <w:pPr>
        <w:ind w:left="3230" w:hanging="360"/>
      </w:pPr>
      <w:rPr>
        <w:rFonts w:hint="default" w:ascii="Symbol" w:hAnsi="Symbol"/>
      </w:rPr>
    </w:lvl>
    <w:lvl w:ilvl="4" w:tplc="04070003" w:tentative="1">
      <w:start w:val="1"/>
      <w:numFmt w:val="bullet"/>
      <w:lvlText w:val="o"/>
      <w:lvlJc w:val="left"/>
      <w:pPr>
        <w:ind w:left="3950" w:hanging="360"/>
      </w:pPr>
      <w:rPr>
        <w:rFonts w:hint="default" w:ascii="Courier New" w:hAnsi="Courier New" w:cs="Courier New"/>
      </w:rPr>
    </w:lvl>
    <w:lvl w:ilvl="5" w:tplc="04070005" w:tentative="1">
      <w:start w:val="1"/>
      <w:numFmt w:val="bullet"/>
      <w:lvlText w:val=""/>
      <w:lvlJc w:val="left"/>
      <w:pPr>
        <w:ind w:left="4670" w:hanging="360"/>
      </w:pPr>
      <w:rPr>
        <w:rFonts w:hint="default" w:ascii="Wingdings" w:hAnsi="Wingdings"/>
      </w:rPr>
    </w:lvl>
    <w:lvl w:ilvl="6" w:tplc="04070001" w:tentative="1">
      <w:start w:val="1"/>
      <w:numFmt w:val="bullet"/>
      <w:lvlText w:val=""/>
      <w:lvlJc w:val="left"/>
      <w:pPr>
        <w:ind w:left="5390" w:hanging="360"/>
      </w:pPr>
      <w:rPr>
        <w:rFonts w:hint="default" w:ascii="Symbol" w:hAnsi="Symbol"/>
      </w:rPr>
    </w:lvl>
    <w:lvl w:ilvl="7" w:tplc="04070003" w:tentative="1">
      <w:start w:val="1"/>
      <w:numFmt w:val="bullet"/>
      <w:lvlText w:val="o"/>
      <w:lvlJc w:val="left"/>
      <w:pPr>
        <w:ind w:left="6110" w:hanging="360"/>
      </w:pPr>
      <w:rPr>
        <w:rFonts w:hint="default" w:ascii="Courier New" w:hAnsi="Courier New" w:cs="Courier New"/>
      </w:rPr>
    </w:lvl>
    <w:lvl w:ilvl="8" w:tplc="04070005" w:tentative="1">
      <w:start w:val="1"/>
      <w:numFmt w:val="bullet"/>
      <w:lvlText w:val=""/>
      <w:lvlJc w:val="left"/>
      <w:pPr>
        <w:ind w:left="6830" w:hanging="360"/>
      </w:pPr>
      <w:rPr>
        <w:rFonts w:hint="default" w:ascii="Wingdings" w:hAnsi="Wingdings"/>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lang="de-DE"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33B"/>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C75B5"/>
    <w:rsid w:val="004C7C05"/>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1CCE"/>
    <w:rsid w:val="00952601"/>
    <w:rsid w:val="00952761"/>
    <w:rsid w:val="009545A4"/>
    <w:rsid w:val="00954C8A"/>
    <w:rsid w:val="00954FF2"/>
    <w:rsid w:val="0095510B"/>
    <w:rsid w:val="0095581A"/>
    <w:rsid w:val="00955F83"/>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37B8A"/>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2DB62CA"/>
    <w:rsid w:val="03E3E7CD"/>
    <w:rsid w:val="0582EA50"/>
    <w:rsid w:val="093781DE"/>
    <w:rsid w:val="09432363"/>
    <w:rsid w:val="0BCD4967"/>
    <w:rsid w:val="0D2465AE"/>
    <w:rsid w:val="0E093BCE"/>
    <w:rsid w:val="0E92307F"/>
    <w:rsid w:val="0ED7686B"/>
    <w:rsid w:val="101C5403"/>
    <w:rsid w:val="12B8F24F"/>
    <w:rsid w:val="1303D22F"/>
    <w:rsid w:val="13D6814F"/>
    <w:rsid w:val="14DFEF31"/>
    <w:rsid w:val="1519BBC2"/>
    <w:rsid w:val="176CB1BB"/>
    <w:rsid w:val="18B829B4"/>
    <w:rsid w:val="1A25DADF"/>
    <w:rsid w:val="1A7049D2"/>
    <w:rsid w:val="1A76FC1D"/>
    <w:rsid w:val="1B275BB8"/>
    <w:rsid w:val="1B601C3F"/>
    <w:rsid w:val="1BCA455F"/>
    <w:rsid w:val="1E8E5D36"/>
    <w:rsid w:val="1F97019F"/>
    <w:rsid w:val="21173804"/>
    <w:rsid w:val="2292EA9E"/>
    <w:rsid w:val="24891539"/>
    <w:rsid w:val="260C6B87"/>
    <w:rsid w:val="284CE0F4"/>
    <w:rsid w:val="29EC570D"/>
    <w:rsid w:val="2A09F09F"/>
    <w:rsid w:val="2BA38D6D"/>
    <w:rsid w:val="2C456A88"/>
    <w:rsid w:val="2D69EB1E"/>
    <w:rsid w:val="2F6108A0"/>
    <w:rsid w:val="2FAFE56B"/>
    <w:rsid w:val="2FF6B854"/>
    <w:rsid w:val="303EC65F"/>
    <w:rsid w:val="306D131A"/>
    <w:rsid w:val="318D6B89"/>
    <w:rsid w:val="32E7862D"/>
    <w:rsid w:val="35A0C0F1"/>
    <w:rsid w:val="37BAC8AB"/>
    <w:rsid w:val="37D54E52"/>
    <w:rsid w:val="39C0F636"/>
    <w:rsid w:val="39F36CE5"/>
    <w:rsid w:val="3A54E455"/>
    <w:rsid w:val="3B53FEE1"/>
    <w:rsid w:val="3B55479C"/>
    <w:rsid w:val="3C754016"/>
    <w:rsid w:val="3E4FDD26"/>
    <w:rsid w:val="3E548EF2"/>
    <w:rsid w:val="426CCAC3"/>
    <w:rsid w:val="437F912F"/>
    <w:rsid w:val="438A12F2"/>
    <w:rsid w:val="45669838"/>
    <w:rsid w:val="45E580FE"/>
    <w:rsid w:val="47419123"/>
    <w:rsid w:val="48892CFB"/>
    <w:rsid w:val="4A78E836"/>
    <w:rsid w:val="4D823418"/>
    <w:rsid w:val="4E6F0350"/>
    <w:rsid w:val="4FDE7569"/>
    <w:rsid w:val="5149F343"/>
    <w:rsid w:val="517AA7B9"/>
    <w:rsid w:val="52813730"/>
    <w:rsid w:val="540E0555"/>
    <w:rsid w:val="56AF1506"/>
    <w:rsid w:val="5771D80F"/>
    <w:rsid w:val="5B4A4DAB"/>
    <w:rsid w:val="5B5C3570"/>
    <w:rsid w:val="5D73C726"/>
    <w:rsid w:val="5F368AED"/>
    <w:rsid w:val="5FB5409E"/>
    <w:rsid w:val="5FD0F8E2"/>
    <w:rsid w:val="615FDD70"/>
    <w:rsid w:val="61D53710"/>
    <w:rsid w:val="627252D2"/>
    <w:rsid w:val="62AE6F8A"/>
    <w:rsid w:val="62BD5650"/>
    <w:rsid w:val="64AB709D"/>
    <w:rsid w:val="6524B8C8"/>
    <w:rsid w:val="6539623B"/>
    <w:rsid w:val="655E9391"/>
    <w:rsid w:val="65E6104C"/>
    <w:rsid w:val="68209E22"/>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styleId="KommentartextZchn" w:customStyle="1">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hAnsiTheme="minorHAnsi" w:eastAsiaTheme="minorHAnsi" w:cstheme="minorBidi"/>
      <w:sz w:val="20"/>
      <w:lang w:val="de-DE"/>
    </w:rPr>
  </w:style>
  <w:style w:type="character" w:styleId="FunotentextZchn" w:customStyle="1">
    <w:name w:val="Fußnotentext Zchn"/>
    <w:basedOn w:val="Absatz-Standardschriftart"/>
    <w:link w:val="Funotentext"/>
    <w:uiPriority w:val="99"/>
    <w:semiHidden/>
    <w:rsid w:val="00247D82"/>
    <w:rPr>
      <w:rFonts w:asciiTheme="minorHAnsi" w:hAnsiTheme="minorHAnsi" w:eastAsia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styleId="paragraph" w:customStyle="1">
    <w:name w:val="paragraph"/>
    <w:basedOn w:val="Standard"/>
    <w:rsid w:val="004C7C05"/>
    <w:pPr>
      <w:spacing w:before="100" w:beforeAutospacing="1" w:after="100" w:afterAutospacing="1"/>
    </w:pPr>
    <w:rPr>
      <w:rFonts w:ascii="Times New Roman" w:hAnsi="Times New Roman"/>
      <w:sz w:val="24"/>
      <w:szCs w:val="24"/>
      <w:lang w:val="de-DE" w:eastAsia="de-DE"/>
    </w:rPr>
  </w:style>
  <w:style w:type="character" w:styleId="eop" w:customStyle="1">
    <w:name w:val="eop"/>
    <w:basedOn w:val="Absatz-Standardschriftart"/>
    <w:rsid w:val="004C7C05"/>
  </w:style>
  <w:style w:type="character" w:styleId="scxw109111459" w:customStyle="1">
    <w:name w:val="scxw109111459"/>
    <w:basedOn w:val="Absatz-Standardschriftart"/>
    <w:rsid w:val="004C7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weidmueller.de/nachhaltigkeitsbroschuer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weidmueller.de/de/unternehmen/unser_unternehmen/wer_wir_sind/index.jsp"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resse@weidmueller.com" TargetMode="External" Id="rId14" /><Relationship Type="http://schemas.openxmlformats.org/officeDocument/2006/relationships/image" Target="/media/image2.jpg" Id="R382e7cb091304134" /><Relationship Type="http://schemas.openxmlformats.org/officeDocument/2006/relationships/image" Target="/media/image3.jpg" Id="Rc1c978fd9099478e"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3A7C5F49-6729-46FF-AF3A-8F81D34D63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presse@weidmueller.com</dc:creator>
  <cp:keywords/>
  <cp:lastModifiedBy>Rottwinkel, Melinda</cp:lastModifiedBy>
  <cp:revision>3</cp:revision>
  <cp:lastPrinted>2018-03-06T08:44:00Z</cp:lastPrinted>
  <dcterms:created xsi:type="dcterms:W3CDTF">2024-03-05T13:45:00Z</dcterms:created>
  <dcterms:modified xsi:type="dcterms:W3CDTF">2024-06-12T15:16:16Z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