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B6C2C" w14:textId="4533F2E3" w:rsidR="00582D86" w:rsidRDefault="00582D86" w:rsidP="00582D86">
      <w:pPr>
        <w:spacing w:line="360" w:lineRule="auto"/>
        <w:rPr>
          <w:rStyle w:val="fontsizemedium"/>
          <w:rFonts w:cs="Arial"/>
          <w:b/>
          <w:bCs/>
          <w:color w:val="000000" w:themeColor="text1"/>
          <w:shd w:val="clear" w:color="auto" w:fill="FFFFFF"/>
        </w:rPr>
      </w:pPr>
      <w:r w:rsidRPr="538480F7">
        <w:rPr>
          <w:rStyle w:val="fontsizemedium"/>
          <w:b/>
          <w:bCs/>
          <w:color w:val="000000" w:themeColor="text1"/>
          <w:shd w:val="clear" w:color="auto" w:fill="FFFFFF"/>
        </w:rPr>
        <w:t xml:space="preserve">Weidmüller takes part </w:t>
      </w:r>
      <w:r w:rsidR="00C72507">
        <w:rPr>
          <w:rStyle w:val="fontsizemedium"/>
          <w:b/>
          <w:bCs/>
          <w:color w:val="000000" w:themeColor="text1"/>
          <w:shd w:val="clear" w:color="auto" w:fill="FFFFFF"/>
        </w:rPr>
        <w:t xml:space="preserve">on </w:t>
      </w:r>
      <w:r w:rsidRPr="538480F7">
        <w:rPr>
          <w:rStyle w:val="fontsizemedium"/>
          <w:b/>
          <w:bCs/>
          <w:color w:val="000000" w:themeColor="text1"/>
          <w:shd w:val="clear" w:color="auto" w:fill="FFFFFF"/>
        </w:rPr>
        <w:t xml:space="preserve">international lightning protection </w:t>
      </w:r>
      <w:proofErr w:type="gramStart"/>
      <w:r w:rsidRPr="538480F7">
        <w:rPr>
          <w:rStyle w:val="fontsizemedium"/>
          <w:b/>
          <w:bCs/>
          <w:color w:val="000000" w:themeColor="text1"/>
          <w:shd w:val="clear" w:color="auto" w:fill="FFFFFF"/>
        </w:rPr>
        <w:t>conference</w:t>
      </w:r>
      <w:proofErr w:type="gramEnd"/>
      <w:r w:rsidRPr="538480F7">
        <w:rPr>
          <w:rStyle w:val="fontsizemedium"/>
          <w:b/>
          <w:bCs/>
          <w:color w:val="000000" w:themeColor="text1"/>
          <w:shd w:val="clear" w:color="auto" w:fill="FFFFFF"/>
        </w:rPr>
        <w:t xml:space="preserve"> </w:t>
      </w:r>
    </w:p>
    <w:p w14:paraId="6291F189" w14:textId="6456101F" w:rsidR="00842801" w:rsidRPr="00582D86" w:rsidRDefault="00842801" w:rsidP="00842801">
      <w:pPr>
        <w:spacing w:line="360" w:lineRule="auto"/>
        <w:rPr>
          <w:rFonts w:cs="Arial"/>
          <w:i/>
          <w:iCs/>
        </w:rPr>
      </w:pPr>
      <w:r>
        <w:rPr>
          <w:i/>
        </w:rPr>
        <w:t xml:space="preserve">For the 37th </w:t>
      </w:r>
      <w:r w:rsidR="004C3A0A">
        <w:rPr>
          <w:i/>
        </w:rPr>
        <w:t>time</w:t>
      </w:r>
      <w:r>
        <w:rPr>
          <w:i/>
        </w:rPr>
        <w:t>, the VDE (</w:t>
      </w:r>
      <w:proofErr w:type="spellStart"/>
      <w:r>
        <w:rPr>
          <w:i/>
        </w:rPr>
        <w:t>Verband</w:t>
      </w:r>
      <w:proofErr w:type="spellEnd"/>
      <w:r>
        <w:rPr>
          <w:i/>
        </w:rPr>
        <w:t xml:space="preserve"> der </w:t>
      </w:r>
      <w:proofErr w:type="spellStart"/>
      <w:r>
        <w:rPr>
          <w:i/>
        </w:rPr>
        <w:t>Elektrotechnik</w:t>
      </w:r>
      <w:proofErr w:type="spellEnd"/>
      <w:r>
        <w:rPr>
          <w:i/>
        </w:rPr>
        <w:t xml:space="preserve"> Elektronik </w:t>
      </w:r>
      <w:proofErr w:type="spellStart"/>
      <w:r>
        <w:rPr>
          <w:i/>
        </w:rPr>
        <w:t>Informationstechnik</w:t>
      </w:r>
      <w:proofErr w:type="spellEnd"/>
      <w:r>
        <w:rPr>
          <w:i/>
        </w:rPr>
        <w:t xml:space="preserve"> </w:t>
      </w:r>
      <w:proofErr w:type="spellStart"/>
      <w:r>
        <w:rPr>
          <w:i/>
        </w:rPr>
        <w:t>e.V.</w:t>
      </w:r>
      <w:proofErr w:type="spellEnd"/>
      <w:r w:rsidR="004C3A0A">
        <w:rPr>
          <w:i/>
        </w:rPr>
        <w:t>) i</w:t>
      </w:r>
      <w:r>
        <w:rPr>
          <w:i/>
        </w:rPr>
        <w:t>s inviting lightning protection experts from research and industry to come together and exchange ideas. This year, the exhibition will be held in the Bilderberg Hotel Dresden, Germany.</w:t>
      </w:r>
    </w:p>
    <w:p w14:paraId="29C124C1" w14:textId="77777777" w:rsidR="00842801" w:rsidRPr="00A751E1" w:rsidRDefault="00842801" w:rsidP="00582D86">
      <w:pPr>
        <w:spacing w:line="360" w:lineRule="auto"/>
        <w:rPr>
          <w:rStyle w:val="fontsizemedium"/>
          <w:rFonts w:cs="Arial"/>
          <w:b/>
          <w:bCs/>
          <w:color w:val="000000" w:themeColor="text1"/>
          <w:shd w:val="clear" w:color="auto" w:fill="FFFFFF"/>
        </w:rPr>
      </w:pPr>
    </w:p>
    <w:p w14:paraId="38F30788" w14:textId="50E67872" w:rsidR="00582D86" w:rsidRDefault="00582D86" w:rsidP="00582D86">
      <w:pPr>
        <w:spacing w:line="360" w:lineRule="auto"/>
        <w:rPr>
          <w:rFonts w:cs="Arial"/>
        </w:rPr>
      </w:pPr>
      <w:r>
        <w:rPr>
          <w:rStyle w:val="fontsizemedium"/>
          <w:color w:val="000000" w:themeColor="text1"/>
        </w:rPr>
        <w:t>This year's ICLP (International Conference on Lightning Protection) will begin on 01 September 2024 in Dresden. Experts</w:t>
      </w:r>
      <w:r>
        <w:t xml:space="preserve"> in lightning and surge protection from Weidmüller will be on site from 01 to 07 September 2024. They are looking forward to expert discussions and intensive conversations about the latest technological developments and advancements in this </w:t>
      </w:r>
      <w:r w:rsidR="004C3A0A">
        <w:t>field</w:t>
      </w:r>
      <w:r>
        <w:t xml:space="preserve">. The ICLP brings together technical experts, researchers, and companies to discuss the latest advancements and innovations in lightning protection technology. This year, the programme will focus on topics such as lightning protection for power grids, electric </w:t>
      </w:r>
      <w:proofErr w:type="gramStart"/>
      <w:r>
        <w:t>vehicles</w:t>
      </w:r>
      <w:proofErr w:type="gramEnd"/>
      <w:r>
        <w:t xml:space="preserve"> and their charging infrastructures, and on the protection of renewable energy systems. </w:t>
      </w:r>
      <w:r w:rsidR="004C3A0A" w:rsidRPr="004C3A0A">
        <w:rPr>
          <w:rStyle w:val="cf01"/>
          <w:rFonts w:ascii="Arial" w:hAnsi="Arial" w:cs="Arial"/>
          <w:sz w:val="22"/>
          <w:szCs w:val="22"/>
        </w:rPr>
        <w:t xml:space="preserve">Weidmüller has offered </w:t>
      </w:r>
      <w:r w:rsidR="004C3A0A" w:rsidRPr="004C3A0A">
        <w:rPr>
          <w:rStyle w:val="cf11"/>
          <w:rFonts w:ascii="Arial" w:hAnsi="Arial" w:cs="Arial"/>
          <w:sz w:val="22"/>
          <w:szCs w:val="22"/>
        </w:rPr>
        <w:t>standard-compliant</w:t>
      </w:r>
      <w:r w:rsidR="004C3A0A" w:rsidRPr="004C3A0A">
        <w:rPr>
          <w:rStyle w:val="cf01"/>
          <w:rFonts w:ascii="Arial" w:hAnsi="Arial" w:cs="Arial"/>
          <w:sz w:val="22"/>
          <w:szCs w:val="22"/>
        </w:rPr>
        <w:t xml:space="preserve"> lightning and surge protection products for many years and recently adding products for power and photovoltaics systems to the VARITECTOR portfolio.</w:t>
      </w:r>
      <w:r w:rsidR="004C3A0A" w:rsidRPr="004C3A0A">
        <w:rPr>
          <w:rStyle w:val="cf01"/>
          <w:sz w:val="22"/>
          <w:szCs w:val="22"/>
        </w:rPr>
        <w:t xml:space="preserve"> </w:t>
      </w:r>
      <w:r>
        <w:t xml:space="preserve">Attendees at the ICLP can look forward to technical discussions and innovative products for power and PV systems at </w:t>
      </w:r>
      <w:proofErr w:type="spellStart"/>
      <w:r>
        <w:t>Weidmüller's</w:t>
      </w:r>
      <w:proofErr w:type="spellEnd"/>
      <w:r>
        <w:t xml:space="preserve"> exhibition stand. </w:t>
      </w:r>
    </w:p>
    <w:p w14:paraId="0FDA0821" w14:textId="77777777" w:rsidR="00377EC1" w:rsidRPr="00A751E1" w:rsidRDefault="00377EC1" w:rsidP="00582D86">
      <w:pPr>
        <w:spacing w:line="360" w:lineRule="auto"/>
        <w:rPr>
          <w:rFonts w:cs="Arial"/>
        </w:rPr>
      </w:pPr>
    </w:p>
    <w:p w14:paraId="5613EF36" w14:textId="185339C9" w:rsidR="00582D86" w:rsidRPr="00582D86" w:rsidRDefault="00582D86" w:rsidP="00582D86">
      <w:pPr>
        <w:spacing w:line="360" w:lineRule="auto"/>
        <w:rPr>
          <w:rStyle w:val="Hyperlink"/>
          <w:rFonts w:cs="Arial"/>
        </w:rPr>
      </w:pPr>
      <w:r>
        <w:t xml:space="preserve">More information </w:t>
      </w:r>
      <w:r w:rsidR="004C3A0A">
        <w:t>about</w:t>
      </w:r>
      <w:r>
        <w:t xml:space="preserve"> the ICLP 2024 is available here: </w:t>
      </w:r>
      <w:hyperlink r:id="rId11" w:history="1">
        <w:r>
          <w:rPr>
            <w:rStyle w:val="Hyperlink"/>
          </w:rPr>
          <w:t>ICLP 2024 - Homepage - VDE</w:t>
        </w:r>
      </w:hyperlink>
    </w:p>
    <w:p w14:paraId="7C424AD3" w14:textId="5F2A02EF" w:rsidR="00F67CEA" w:rsidRPr="00582D86" w:rsidRDefault="00582D86" w:rsidP="006F01C4">
      <w:pPr>
        <w:tabs>
          <w:tab w:val="left" w:pos="1701"/>
        </w:tabs>
        <w:spacing w:line="360" w:lineRule="auto"/>
        <w:jc w:val="both"/>
        <w:rPr>
          <w:sz w:val="18"/>
          <w:szCs w:val="16"/>
        </w:rPr>
      </w:pPr>
      <w:r>
        <w:rPr>
          <w:sz w:val="18"/>
        </w:rPr>
        <w:t>1,</w:t>
      </w:r>
      <w:r w:rsidR="004C3A0A">
        <w:rPr>
          <w:sz w:val="18"/>
        </w:rPr>
        <w:t>490</w:t>
      </w:r>
      <w:r>
        <w:rPr>
          <w:sz w:val="18"/>
        </w:rPr>
        <w:t xml:space="preserve"> characters including </w:t>
      </w:r>
      <w:proofErr w:type="gramStart"/>
      <w:r>
        <w:rPr>
          <w:sz w:val="18"/>
        </w:rPr>
        <w:t>spaces</w:t>
      </w:r>
      <w:proofErr w:type="gramEnd"/>
    </w:p>
    <w:p w14:paraId="6C0F3779" w14:textId="77777777" w:rsidR="00582D86" w:rsidRPr="00A751E1" w:rsidRDefault="00582D86" w:rsidP="006F01C4">
      <w:pPr>
        <w:tabs>
          <w:tab w:val="left" w:pos="1701"/>
        </w:tabs>
        <w:spacing w:line="360" w:lineRule="auto"/>
        <w:jc w:val="both"/>
        <w:rPr>
          <w:rFonts w:eastAsia="Arial" w:cs="Arial"/>
          <w:sz w:val="18"/>
          <w:szCs w:val="18"/>
        </w:rPr>
      </w:pPr>
    </w:p>
    <w:p w14:paraId="1D472810" w14:textId="1F6C7E84" w:rsidR="00A4799F" w:rsidRPr="00F67CEA" w:rsidRDefault="006F01C4" w:rsidP="00F67CEA">
      <w:pPr>
        <w:tabs>
          <w:tab w:val="left" w:pos="1701"/>
        </w:tabs>
        <w:spacing w:line="360" w:lineRule="auto"/>
        <w:jc w:val="both"/>
        <w:rPr>
          <w:rFonts w:eastAsia="Arial" w:cs="Arial"/>
          <w:sz w:val="18"/>
          <w:szCs w:val="18"/>
        </w:rPr>
      </w:pPr>
      <w:r>
        <w:rPr>
          <w:sz w:val="18"/>
        </w:rPr>
        <w:t>You are free to use all images. We request that you cite the image source.</w:t>
      </w:r>
      <w:r>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left:0;text-align:left;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786FCF41" w14:textId="77777777" w:rsidR="007558C3" w:rsidRPr="00FA595C" w:rsidRDefault="007558C3" w:rsidP="00FA595C">
                      <w:pPr>
                        <w:rPr>
                          <w:lang w:val="de-DE"/>
                        </w:rPr>
                      </w:pPr>
                    </w:p>
                  </w:txbxContent>
                </v:textbox>
                <w10:wrap type="square" anchorx="margin"/>
              </v:shape>
            </w:pict>
          </mc:Fallback>
        </mc:AlternateContent>
      </w:r>
      <w:r>
        <w:rPr>
          <w:noProof/>
        </w:rPr>
        <mc:AlternateContent>
          <mc:Choice Requires="wps">
            <w:drawing>
              <wp:anchor distT="45720" distB="45720" distL="114300" distR="114300" simplePos="0" relativeHeight="251658241" behindDoc="0" locked="0" layoutInCell="1" allowOverlap="1" wp14:anchorId="7C2DA9AB" wp14:editId="0CA353F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0C347419" w14:textId="735B55AD" w:rsidR="00A4799F" w:rsidRPr="00D073BA" w:rsidRDefault="00377EC1" w:rsidP="00D073BA">
      <w:pPr>
        <w:rPr>
          <w:rFonts w:eastAsia="Arial" w:cs="Arial"/>
          <w:bCs/>
          <w:sz w:val="20"/>
        </w:rPr>
      </w:pPr>
      <w:r>
        <w:rPr>
          <w:rStyle w:val="BesuchterLink"/>
          <w:noProof/>
          <w:color w:val="000000" w:themeColor="text1"/>
          <w:u w:val="none"/>
          <w:shd w:val="clear" w:color="auto" w:fill="FFFFFF"/>
        </w:rPr>
        <w:lastRenderedPageBreak/>
        <w:drawing>
          <wp:inline distT="0" distB="0" distL="0" distR="0" wp14:anchorId="574A62B9" wp14:editId="42859E6C">
            <wp:extent cx="4452731" cy="2966036"/>
            <wp:effectExtent l="0" t="0" r="508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7913" cy="3016116"/>
                    </a:xfrm>
                    <a:prstGeom prst="rect">
                      <a:avLst/>
                    </a:prstGeom>
                    <a:noFill/>
                    <a:ln>
                      <a:noFill/>
                    </a:ln>
                  </pic:spPr>
                </pic:pic>
              </a:graphicData>
            </a:graphic>
          </wp:inline>
        </w:drawing>
      </w:r>
      <w:r>
        <w:rPr>
          <w:b/>
          <w:sz w:val="20"/>
        </w:rPr>
        <w:br/>
      </w:r>
    </w:p>
    <w:p w14:paraId="472D8D0D" w14:textId="7A576662" w:rsidR="004C3A0A" w:rsidRPr="004C3A0A" w:rsidRDefault="00377EC1" w:rsidP="004C3A0A">
      <w:pPr>
        <w:pStyle w:val="pf0"/>
        <w:rPr>
          <w:rFonts w:ascii="Arial" w:hAnsi="Arial" w:cs="Arial"/>
          <w:sz w:val="20"/>
          <w:szCs w:val="20"/>
          <w:lang w:val="en-GB"/>
        </w:rPr>
      </w:pPr>
      <w:r w:rsidRPr="538480F7">
        <w:rPr>
          <w:rFonts w:ascii="Arial" w:hAnsi="Arial" w:cs="Arial"/>
          <w:sz w:val="20"/>
          <w:szCs w:val="20"/>
          <w:lang w:val="en-GB"/>
        </w:rPr>
        <w:t xml:space="preserve">Image caption: </w:t>
      </w:r>
      <w:r w:rsidR="004C3A0A" w:rsidRPr="538480F7">
        <w:rPr>
          <w:rStyle w:val="cf01"/>
          <w:rFonts w:ascii="Arial" w:hAnsi="Arial" w:cs="Arial"/>
          <w:sz w:val="20"/>
          <w:szCs w:val="20"/>
          <w:lang w:val="en-GB"/>
        </w:rPr>
        <w:t xml:space="preserve">The standard-compliant lightning and surge protection products </w:t>
      </w:r>
      <w:r w:rsidR="00C72507">
        <w:rPr>
          <w:rStyle w:val="cf01"/>
          <w:rFonts w:ascii="Arial" w:hAnsi="Arial" w:cs="Arial"/>
          <w:sz w:val="20"/>
          <w:szCs w:val="20"/>
          <w:lang w:val="en-GB"/>
        </w:rPr>
        <w:t>of</w:t>
      </w:r>
      <w:r w:rsidR="004C3A0A" w:rsidRPr="538480F7">
        <w:rPr>
          <w:rStyle w:val="cf01"/>
          <w:rFonts w:ascii="Arial" w:hAnsi="Arial" w:cs="Arial"/>
          <w:sz w:val="20"/>
          <w:szCs w:val="20"/>
          <w:lang w:val="en-GB"/>
        </w:rPr>
        <w:t xml:space="preserve"> the VARITECTOR portfolio were recently expanded to include additional products for energy and photovoltaic </w:t>
      </w:r>
      <w:proofErr w:type="gramStart"/>
      <w:r w:rsidR="004C3A0A" w:rsidRPr="538480F7">
        <w:rPr>
          <w:rStyle w:val="cf01"/>
          <w:rFonts w:ascii="Arial" w:hAnsi="Arial" w:cs="Arial"/>
          <w:sz w:val="20"/>
          <w:szCs w:val="20"/>
          <w:lang w:val="en-GB"/>
        </w:rPr>
        <w:t>systems</w:t>
      </w:r>
      <w:proofErr w:type="gramEnd"/>
    </w:p>
    <w:p w14:paraId="26934B9D" w14:textId="3989190B" w:rsidR="00377EC1" w:rsidRPr="00D073BA" w:rsidRDefault="00377EC1" w:rsidP="00D073BA">
      <w:pPr>
        <w:rPr>
          <w:rFonts w:cs="Arial"/>
          <w:sz w:val="20"/>
        </w:rPr>
      </w:pPr>
    </w:p>
    <w:p w14:paraId="6C8523ED" w14:textId="77777777" w:rsidR="00377EC1" w:rsidRPr="00A751E1" w:rsidRDefault="00377EC1" w:rsidP="00191D1A">
      <w:pPr>
        <w:rPr>
          <w:rFonts w:eastAsia="Arial" w:cs="Arial"/>
          <w:bCs/>
          <w:sz w:val="20"/>
        </w:rPr>
      </w:pPr>
    </w:p>
    <w:p w14:paraId="604D4C5D" w14:textId="77777777" w:rsidR="00377EC1" w:rsidRDefault="00377EC1" w:rsidP="00191D1A">
      <w:pPr>
        <w:rPr>
          <w:rStyle w:val="BesuchterLink"/>
          <w:rFonts w:cs="Arial"/>
          <w:noProof/>
          <w:color w:val="000000" w:themeColor="text1"/>
          <w:shd w:val="clear" w:color="auto" w:fill="FFFFFF"/>
        </w:rPr>
      </w:pPr>
    </w:p>
    <w:p w14:paraId="73CCB9B0" w14:textId="7162B8A0" w:rsidR="00377EC1" w:rsidRDefault="00377EC1" w:rsidP="00191D1A">
      <w:pPr>
        <w:rPr>
          <w:rFonts w:eastAsia="Arial" w:cs="Arial"/>
          <w:bCs/>
          <w:sz w:val="20"/>
        </w:rPr>
      </w:pPr>
      <w:r>
        <w:rPr>
          <w:rStyle w:val="BesuchterLink"/>
          <w:noProof/>
          <w:color w:val="000000" w:themeColor="text1"/>
          <w:u w:val="none"/>
          <w:shd w:val="clear" w:color="auto" w:fill="FFFFFF"/>
        </w:rPr>
        <w:drawing>
          <wp:inline distT="0" distB="0" distL="0" distR="0" wp14:anchorId="6468E07C" wp14:editId="70E93964">
            <wp:extent cx="2447925" cy="1633301"/>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7925" cy="1633301"/>
                    </a:xfrm>
                    <a:prstGeom prst="rect">
                      <a:avLst/>
                    </a:prstGeom>
                    <a:noFill/>
                    <a:ln>
                      <a:noFill/>
                    </a:ln>
                  </pic:spPr>
                </pic:pic>
              </a:graphicData>
            </a:graphic>
          </wp:inline>
        </w:drawing>
      </w:r>
    </w:p>
    <w:p w14:paraId="739A157A" w14:textId="77777777" w:rsidR="00377EC1" w:rsidRPr="00377EC1" w:rsidRDefault="00377EC1" w:rsidP="00191D1A">
      <w:pPr>
        <w:rPr>
          <w:rFonts w:eastAsia="Arial" w:cs="Arial"/>
          <w:bCs/>
          <w:sz w:val="20"/>
          <w:lang w:val="de-DE"/>
        </w:rPr>
      </w:pPr>
    </w:p>
    <w:p w14:paraId="48E28585" w14:textId="06FB7E68" w:rsidR="00414FCB" w:rsidRPr="00D073BA" w:rsidRDefault="00377EC1" w:rsidP="004C3A0A">
      <w:pPr>
        <w:rPr>
          <w:rFonts w:eastAsia="Arial" w:cs="Arial"/>
          <w:b/>
          <w:sz w:val="20"/>
        </w:rPr>
      </w:pPr>
      <w:r w:rsidRPr="004C3A0A">
        <w:rPr>
          <w:bCs/>
          <w:sz w:val="20"/>
        </w:rPr>
        <w:t>Image caption:</w:t>
      </w:r>
      <w:r>
        <w:rPr>
          <w:b/>
          <w:sz w:val="20"/>
        </w:rPr>
        <w:t xml:space="preserve"> </w:t>
      </w:r>
      <w:r>
        <w:rPr>
          <w:rStyle w:val="fontsizemedium"/>
          <w:color w:val="000000" w:themeColor="text1"/>
          <w:sz w:val="20"/>
        </w:rPr>
        <w:t>Experts</w:t>
      </w:r>
      <w:r>
        <w:rPr>
          <w:sz w:val="20"/>
        </w:rPr>
        <w:t xml:space="preserve"> in lightning and surge protection from Weidmüller will be on site from 01 to 07 September 2024 at the ICLP in Dresden </w:t>
      </w:r>
    </w:p>
    <w:p w14:paraId="0F18A356" w14:textId="77777777" w:rsidR="00582D86" w:rsidRPr="00A751E1" w:rsidRDefault="00582D86" w:rsidP="00191D1A">
      <w:pPr>
        <w:rPr>
          <w:rFonts w:eastAsia="Arial" w:cs="Arial"/>
          <w:b/>
          <w:sz w:val="20"/>
        </w:rPr>
      </w:pPr>
    </w:p>
    <w:p w14:paraId="64537264" w14:textId="77777777" w:rsidR="00377EC1" w:rsidRPr="00A751E1" w:rsidRDefault="00377EC1" w:rsidP="00191D1A">
      <w:pPr>
        <w:rPr>
          <w:rFonts w:eastAsia="Arial" w:cs="Arial"/>
          <w:b/>
          <w:sz w:val="20"/>
        </w:rPr>
      </w:pPr>
    </w:p>
    <w:p w14:paraId="0815070F" w14:textId="77777777" w:rsidR="00377EC1" w:rsidRPr="00A751E1" w:rsidRDefault="00377EC1" w:rsidP="00191D1A">
      <w:pPr>
        <w:rPr>
          <w:rFonts w:eastAsia="Arial" w:cs="Arial"/>
          <w:b/>
          <w:sz w:val="20"/>
        </w:rPr>
      </w:pPr>
    </w:p>
    <w:p w14:paraId="3E184BB4" w14:textId="77777777" w:rsidR="00377EC1" w:rsidRPr="00A751E1" w:rsidRDefault="00377EC1" w:rsidP="00191D1A">
      <w:pPr>
        <w:rPr>
          <w:rFonts w:eastAsia="Arial" w:cs="Arial"/>
          <w:b/>
          <w:sz w:val="20"/>
        </w:rPr>
      </w:pPr>
    </w:p>
    <w:p w14:paraId="697A72C5" w14:textId="77777777" w:rsidR="00377EC1" w:rsidRPr="00A751E1" w:rsidRDefault="00377EC1" w:rsidP="00191D1A">
      <w:pPr>
        <w:rPr>
          <w:rFonts w:eastAsia="Arial" w:cs="Arial"/>
          <w:b/>
          <w:sz w:val="20"/>
        </w:rPr>
      </w:pPr>
    </w:p>
    <w:p w14:paraId="64B065C3" w14:textId="77777777" w:rsidR="00D073BA" w:rsidRPr="00A751E1" w:rsidRDefault="00D073BA" w:rsidP="00191D1A">
      <w:pPr>
        <w:rPr>
          <w:rFonts w:eastAsia="Arial" w:cs="Arial"/>
          <w:b/>
          <w:sz w:val="20"/>
        </w:rPr>
      </w:pPr>
    </w:p>
    <w:p w14:paraId="5DC6C963" w14:textId="77777777" w:rsidR="00D073BA" w:rsidRPr="00A751E1" w:rsidRDefault="00D073BA" w:rsidP="00191D1A">
      <w:pPr>
        <w:rPr>
          <w:rFonts w:eastAsia="Arial" w:cs="Arial"/>
          <w:b/>
          <w:sz w:val="20"/>
        </w:rPr>
      </w:pPr>
    </w:p>
    <w:p w14:paraId="6E47CAFE" w14:textId="77777777" w:rsidR="00D073BA" w:rsidRPr="00A751E1" w:rsidRDefault="00D073BA" w:rsidP="00191D1A">
      <w:pPr>
        <w:rPr>
          <w:rFonts w:eastAsia="Arial" w:cs="Arial"/>
          <w:b/>
          <w:sz w:val="20"/>
        </w:rPr>
      </w:pPr>
    </w:p>
    <w:p w14:paraId="5AB444DC" w14:textId="77777777" w:rsidR="00D073BA" w:rsidRPr="00A751E1" w:rsidRDefault="00D073BA" w:rsidP="00191D1A">
      <w:pPr>
        <w:rPr>
          <w:rFonts w:eastAsia="Arial" w:cs="Arial"/>
          <w:b/>
          <w:sz w:val="20"/>
        </w:rPr>
      </w:pPr>
    </w:p>
    <w:p w14:paraId="549D5877" w14:textId="77777777" w:rsidR="00D073BA" w:rsidRPr="00A751E1" w:rsidRDefault="00D073BA" w:rsidP="00191D1A">
      <w:pPr>
        <w:rPr>
          <w:rFonts w:eastAsia="Arial" w:cs="Arial"/>
          <w:b/>
          <w:sz w:val="20"/>
        </w:rPr>
      </w:pPr>
    </w:p>
    <w:p w14:paraId="43FC175C" w14:textId="77777777" w:rsidR="00D073BA" w:rsidRPr="00A751E1" w:rsidRDefault="00D073BA" w:rsidP="0099636D">
      <w:pPr>
        <w:jc w:val="center"/>
        <w:rPr>
          <w:rFonts w:eastAsia="Arial" w:cs="Arial"/>
          <w:b/>
          <w:sz w:val="20"/>
        </w:rPr>
      </w:pPr>
    </w:p>
    <w:p w14:paraId="0D77D22E" w14:textId="77777777" w:rsidR="00D073BA" w:rsidRPr="00A751E1" w:rsidRDefault="00D073BA" w:rsidP="00191D1A">
      <w:pPr>
        <w:rPr>
          <w:rFonts w:eastAsia="Arial" w:cs="Arial"/>
          <w:b/>
          <w:sz w:val="20"/>
        </w:rPr>
      </w:pPr>
    </w:p>
    <w:p w14:paraId="436D5D59" w14:textId="77777777" w:rsidR="004C3A0A" w:rsidRDefault="004C3A0A" w:rsidP="00B11E6F">
      <w:pPr>
        <w:pStyle w:val="paragraph"/>
        <w:spacing w:before="0" w:beforeAutospacing="0" w:after="0" w:afterAutospacing="0" w:line="360" w:lineRule="auto"/>
        <w:textAlignment w:val="baseline"/>
        <w:rPr>
          <w:rStyle w:val="normaltextrun"/>
          <w:rFonts w:ascii="Arial" w:hAnsi="Arial" w:cs="Arial"/>
          <w:b/>
          <w:bCs/>
          <w:sz w:val="18"/>
          <w:szCs w:val="18"/>
        </w:rPr>
      </w:pPr>
    </w:p>
    <w:p w14:paraId="4012E843" w14:textId="09EC25A8"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b/>
          <w:sz w:val="18"/>
        </w:rPr>
        <w:lastRenderedPageBreak/>
        <w:t>The Weidmüller Group</w:t>
      </w:r>
      <w:r>
        <w:rPr>
          <w:rStyle w:val="eop"/>
          <w:rFonts w:ascii="Arial" w:hAnsi="Arial"/>
          <w:sz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Smart Industrial Connectivity: Electrification, automation, digitalisation, electrical connectivity, electromobility and renewable energies – these are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olor w:val="000000"/>
          <w:sz w:val="18"/>
        </w:rPr>
        <w:t>in excess of</w:t>
      </w:r>
      <w:proofErr w:type="gramEnd"/>
      <w:r>
        <w:rPr>
          <w:rStyle w:val="normaltextrun"/>
          <w:rFonts w:ascii="Arial" w:hAnsi="Arial"/>
          <w:color w:val="000000"/>
          <w:sz w:val="18"/>
        </w:rPr>
        <w:t xml:space="preserve"> one billion euros with around 6,000 employees worldwide – approx. 2,000 of whom are located at the headquarters in Detmold in the heart of </w:t>
      </w:r>
      <w:proofErr w:type="spellStart"/>
      <w:r>
        <w:rPr>
          <w:rStyle w:val="normaltextrun"/>
          <w:rFonts w:ascii="Arial" w:hAnsi="Arial"/>
          <w:color w:val="000000"/>
          <w:sz w:val="18"/>
        </w:rPr>
        <w:t>Ostwestfalen</w:t>
      </w:r>
      <w:proofErr w:type="spellEnd"/>
      <w:r>
        <w:rPr>
          <w:rStyle w:val="normaltextrun"/>
          <w:rFonts w:ascii="Arial" w:hAnsi="Arial"/>
          <w:color w:val="000000"/>
          <w:sz w:val="18"/>
        </w:rPr>
        <w:t xml:space="preserve">-Lippe, Germany. Values Weidmüller lives by: </w:t>
      </w:r>
      <w:hyperlink r:id="rId14" w:anchor="wm-1245006" w:tgtFrame="_blank" w:history="1">
        <w:r>
          <w:rPr>
            <w:rStyle w:val="normaltextrun"/>
            <w:rFonts w:ascii="Arial" w:hAnsi="Arial"/>
            <w:color w:val="0000FF"/>
            <w:sz w:val="18"/>
          </w:rPr>
          <w:t>Diversity with respect</w:t>
        </w:r>
      </w:hyperlink>
      <w:r>
        <w:rPr>
          <w:rStyle w:val="normaltextrun"/>
        </w:rPr>
        <w:t>.</w:t>
      </w:r>
      <w:r>
        <w:rPr>
          <w:rStyle w:val="eop"/>
          <w:rFonts w:ascii="Arial" w:hAnsi="Arial"/>
          <w:color w:val="000000"/>
          <w:sz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Technologies and engagement for a liveable future – Weidmüller demonstrates how it approaches the topic of sustainability in its interactive </w:t>
      </w:r>
      <w:hyperlink r:id="rId15" w:tgtFrame="_blank" w:history="1">
        <w:r>
          <w:rPr>
            <w:rStyle w:val="normaltextrun"/>
            <w:rFonts w:ascii="Arial" w:hAnsi="Arial"/>
            <w:color w:val="0000FF"/>
            <w:sz w:val="18"/>
          </w:rPr>
          <w:t>sustainability brochure</w:t>
        </w:r>
      </w:hyperlink>
      <w:r>
        <w:rPr>
          <w:rStyle w:val="normaltextrun"/>
          <w:rFonts w:ascii="Arial" w:hAnsi="Arial"/>
          <w:color w:val="000000"/>
          <w:sz w:val="18"/>
        </w:rPr>
        <w:t>.</w:t>
      </w:r>
      <w:r>
        <w:rPr>
          <w:rStyle w:val="eop"/>
          <w:rFonts w:ascii="Arial" w:hAnsi="Arial"/>
          <w:color w:val="000000"/>
          <w:sz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b/>
          <w:sz w:val="18"/>
        </w:rPr>
        <w:t>Contact: </w:t>
      </w:r>
      <w:r>
        <w:rPr>
          <w:rStyle w:val="eop"/>
          <w:rFonts w:ascii="Arial" w:hAnsi="Arial"/>
          <w:sz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Weidmüller Corporate Communications</w:t>
      </w:r>
      <w:r>
        <w:rPr>
          <w:rStyle w:val="eop"/>
          <w:rFonts w:ascii="Arial" w:hAnsi="Arial"/>
          <w:sz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Company Spokesperson, Sybille Hilker  </w:t>
      </w:r>
      <w:r>
        <w:rPr>
          <w:rStyle w:val="eop"/>
          <w:rFonts w:ascii="Arial" w:hAnsi="Arial"/>
          <w:sz w:val="18"/>
        </w:rPr>
        <w:t> </w:t>
      </w:r>
    </w:p>
    <w:p w14:paraId="37FE3FC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sz w:val="18"/>
        </w:rPr>
        <w:t xml:space="preserve">Phone: +49 (0)5231 / 14-292322  </w:t>
      </w:r>
      <w:r>
        <w:rPr>
          <w:rStyle w:val="scxw109111459"/>
          <w:rFonts w:ascii="Arial" w:hAnsi="Arial"/>
          <w:sz w:val="18"/>
        </w:rPr>
        <w:t> </w:t>
      </w:r>
      <w:r>
        <w:rPr>
          <w:rFonts w:ascii="Arial" w:hAnsi="Arial"/>
          <w:sz w:val="18"/>
        </w:rPr>
        <w:br/>
      </w:r>
      <w:r>
        <w:rPr>
          <w:rStyle w:val="normaltextrun"/>
          <w:rFonts w:ascii="Arial" w:hAnsi="Arial"/>
          <w:sz w:val="18"/>
        </w:rPr>
        <w:t xml:space="preserve">Email: </w:t>
      </w:r>
      <w:hyperlink r:id="rId16" w:tgtFrame="_blank" w:history="1">
        <w:r>
          <w:rPr>
            <w:rStyle w:val="normaltextrun"/>
            <w:rFonts w:ascii="Arial" w:hAnsi="Arial"/>
            <w:color w:val="0000FF"/>
            <w:sz w:val="18"/>
          </w:rPr>
          <w:t>presse@weidmueller.com</w:t>
        </w:r>
      </w:hyperlink>
      <w:r>
        <w:rPr>
          <w:rStyle w:val="eop"/>
          <w:rFonts w:ascii="Arial" w:hAnsi="Arial"/>
          <w:sz w:val="18"/>
        </w:rPr>
        <w:t> </w:t>
      </w:r>
    </w:p>
    <w:p w14:paraId="2FE22CD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sz w:val="22"/>
        </w:rPr>
        <w:t> </w:t>
      </w:r>
    </w:p>
    <w:p w14:paraId="2FFAE029" w14:textId="77777777" w:rsidR="00377EC1" w:rsidRPr="00582D86" w:rsidRDefault="00377EC1" w:rsidP="00377EC1">
      <w:pPr>
        <w:spacing w:line="360" w:lineRule="auto"/>
        <w:rPr>
          <w:rFonts w:cs="Arial"/>
          <w:lang w:val="de-DE"/>
        </w:rPr>
      </w:pPr>
    </w:p>
    <w:p w14:paraId="377A3BBB" w14:textId="2694DE87"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743A5F">
      <w:headerReference w:type="default" r:id="rId17"/>
      <w:footerReference w:type="default" r:id="rId18"/>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C65F" w14:textId="77777777" w:rsidR="00B767E4" w:rsidRDefault="00B767E4">
      <w:r>
        <w:separator/>
      </w:r>
    </w:p>
  </w:endnote>
  <w:endnote w:type="continuationSeparator" w:id="0">
    <w:p w14:paraId="63D1F0FB" w14:textId="77777777" w:rsidR="00B767E4" w:rsidRDefault="00B767E4">
      <w:r>
        <w:continuationSeparator/>
      </w:r>
    </w:p>
  </w:endnote>
  <w:endnote w:type="continuationNotice" w:id="1">
    <w:p w14:paraId="68CD3A71" w14:textId="77777777" w:rsidR="00B767E4" w:rsidRDefault="00B76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392BF" w14:textId="77777777" w:rsidR="00B767E4" w:rsidRDefault="00B767E4">
      <w:r>
        <w:separator/>
      </w:r>
    </w:p>
  </w:footnote>
  <w:footnote w:type="continuationSeparator" w:id="0">
    <w:p w14:paraId="70B6DA67" w14:textId="77777777" w:rsidR="00B767E4" w:rsidRDefault="00B767E4">
      <w:r>
        <w:continuationSeparator/>
      </w:r>
    </w:p>
  </w:footnote>
  <w:footnote w:type="continuationNotice" w:id="1">
    <w:p w14:paraId="4FBB766D" w14:textId="77777777" w:rsidR="00B767E4" w:rsidRDefault="00B76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rPr>
      <w:t>Press Release</w:t>
    </w:r>
    <w:r>
      <w:rPr>
        <w:b/>
        <w:sz w:val="32"/>
      </w:rPr>
      <w:tab/>
      <w:t xml:space="preserve">   </w:t>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2E0"/>
    <w:rsid w:val="001456A7"/>
    <w:rsid w:val="001473F8"/>
    <w:rsid w:val="00150C8E"/>
    <w:rsid w:val="00152469"/>
    <w:rsid w:val="00152773"/>
    <w:rsid w:val="00152C62"/>
    <w:rsid w:val="0015362B"/>
    <w:rsid w:val="0015406B"/>
    <w:rsid w:val="00155711"/>
    <w:rsid w:val="00157CCF"/>
    <w:rsid w:val="00160A7C"/>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4095"/>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85FC4"/>
    <w:rsid w:val="003908CB"/>
    <w:rsid w:val="003913A5"/>
    <w:rsid w:val="003923BA"/>
    <w:rsid w:val="00393DD6"/>
    <w:rsid w:val="00394B15"/>
    <w:rsid w:val="0039707A"/>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3A0A"/>
    <w:rsid w:val="004C6C16"/>
    <w:rsid w:val="004C7427"/>
    <w:rsid w:val="004D0D84"/>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2D00"/>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1B7"/>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7CD"/>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38BC"/>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8D7"/>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0D11"/>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1E1"/>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154"/>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17ABE"/>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67E4"/>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2507"/>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6421"/>
    <w:rsid w:val="00CF059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4C5B"/>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55B5"/>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8480F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6CC6AEE"/>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character" w:customStyle="1" w:styleId="cf11">
    <w:name w:val="cf11"/>
    <w:basedOn w:val="Absatz-Standardschriftart"/>
    <w:rsid w:val="004C3A0A"/>
    <w:rPr>
      <w:rFonts w:ascii="Segoe UI" w:hAnsi="Segoe UI" w:cs="Segoe UI" w:hint="default"/>
      <w:color w:val="0A0A0A"/>
      <w:sz w:val="18"/>
      <w:szCs w:val="18"/>
      <w:shd w:val="clear" w:color="auto" w:fill="FFFFFF"/>
    </w:rPr>
  </w:style>
  <w:style w:type="paragraph" w:customStyle="1" w:styleId="pf0">
    <w:name w:val="pf0"/>
    <w:basedOn w:val="Standard"/>
    <w:rsid w:val="004C3A0A"/>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1493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lp2024.org/en" TargetMode="External"/><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5C0CE95-95D6-459B-83A4-0DE72023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445</Words>
  <Characters>2806</Characters>
  <Application>Microsoft Office Word</Application>
  <DocSecurity>0</DocSecurity>
  <Lines>23</Lines>
  <Paragraphs>6</Paragraphs>
  <ScaleCrop>false</ScaleCrop>
  <Company>Weidmüller Holding</Company>
  <LinksUpToDate>false</LinksUpToDate>
  <CharactersWithSpaces>3245</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Outstanding sustainability: Weidmüller receives gold rating from EcoVadis</dc:title>
  <dc:subject/>
  <dc:creator>presse@weidmueller.com</dc:creator>
  <cp:keywords/>
  <cp:lastModifiedBy>Löding, Franziska</cp:lastModifiedBy>
  <cp:revision>2</cp:revision>
  <cp:lastPrinted>2018-03-06T17:44:00Z</cp:lastPrinted>
  <dcterms:created xsi:type="dcterms:W3CDTF">2024-07-26T11:47:00Z</dcterms:created>
  <dcterms:modified xsi:type="dcterms:W3CDTF">2024-07-26T11:47:00Z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