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9A1D3" w14:textId="77777777" w:rsidR="009C6314" w:rsidRPr="002129AC" w:rsidRDefault="009C6314" w:rsidP="002129AC">
      <w:pPr>
        <w:spacing w:line="360" w:lineRule="auto"/>
        <w:rPr>
          <w:b/>
          <w:bCs/>
          <w:sz w:val="22"/>
          <w:szCs w:val="22"/>
        </w:rPr>
      </w:pPr>
      <w:r w:rsidRPr="002129AC">
        <w:rPr>
          <w:b/>
          <w:sz w:val="22"/>
          <w:szCs w:val="22"/>
        </w:rPr>
        <w:t>Forward-thinking machine visualisation with web-based HMI</w:t>
      </w:r>
    </w:p>
    <w:p w14:paraId="1231CF22" w14:textId="313A3505" w:rsidR="009C6314" w:rsidRPr="00B272F9" w:rsidRDefault="74651B81" w:rsidP="002129AC">
      <w:pPr>
        <w:spacing w:line="360" w:lineRule="auto"/>
        <w:rPr>
          <w:bCs/>
          <w:sz w:val="22"/>
          <w:szCs w:val="22"/>
        </w:rPr>
      </w:pPr>
      <w:r w:rsidRPr="00B272F9">
        <w:rPr>
          <w:bCs/>
          <w:sz w:val="22"/>
          <w:szCs w:val="22"/>
        </w:rPr>
        <w:t>New HMI solution combines modern touch panels with web HMI in one intuitive operating device</w:t>
      </w:r>
    </w:p>
    <w:p w14:paraId="64B6218E" w14:textId="77777777" w:rsidR="00EE0B4C" w:rsidRPr="002129AC" w:rsidRDefault="00EE0B4C" w:rsidP="002129AC">
      <w:pPr>
        <w:spacing w:line="360" w:lineRule="auto"/>
        <w:rPr>
          <w:b/>
          <w:bCs/>
          <w:sz w:val="22"/>
          <w:szCs w:val="22"/>
        </w:rPr>
      </w:pPr>
    </w:p>
    <w:p w14:paraId="2FB4CE0C" w14:textId="513A2756" w:rsidR="00EE0B4C" w:rsidRPr="002129AC" w:rsidRDefault="00EF5E96" w:rsidP="002129AC">
      <w:pPr>
        <w:spacing w:line="360" w:lineRule="auto"/>
        <w:rPr>
          <w:i/>
          <w:iCs/>
          <w:sz w:val="22"/>
          <w:szCs w:val="22"/>
        </w:rPr>
      </w:pPr>
      <w:r w:rsidRPr="002129AC">
        <w:rPr>
          <w:i/>
          <w:sz w:val="22"/>
          <w:szCs w:val="22"/>
        </w:rPr>
        <w:t xml:space="preserve">Weidmüller is combining the u-view Advanced V2 touch panel series and the WEB-HMI PROCON-WEB ES into one operating solution. The web-based HMI and SCADA software is now available on u-view Advanced V2 series touch panels. This combination makes machine visualisation and commissioning simpler and more intuitive. </w:t>
      </w:r>
    </w:p>
    <w:p w14:paraId="1060BEB8" w14:textId="7C4B63CB" w:rsidR="009C6314" w:rsidRPr="002129AC" w:rsidRDefault="009C6314" w:rsidP="002129AC">
      <w:pPr>
        <w:spacing w:line="360" w:lineRule="auto"/>
        <w:rPr>
          <w:sz w:val="22"/>
          <w:szCs w:val="22"/>
        </w:rPr>
      </w:pPr>
      <w:r w:rsidRPr="002129AC">
        <w:rPr>
          <w:sz w:val="22"/>
          <w:szCs w:val="22"/>
        </w:rPr>
        <w:t>The u-view Advanced V2 combines the runtime environment and HMI on a web-capable touch panel, and can be operated directly via the integrated browser, since PROCON-WEB is web-based. In addition to the dedicated local screen, other web-capable devices such as tablets or PCs can access the HMI. This ensures machine operators always have an optimal overview of their machine.</w:t>
      </w:r>
    </w:p>
    <w:p w14:paraId="629D878A" w14:textId="74727BAD" w:rsidR="009C6314" w:rsidRPr="002129AC" w:rsidRDefault="009C6314" w:rsidP="002129AC">
      <w:pPr>
        <w:spacing w:line="360" w:lineRule="auto"/>
        <w:rPr>
          <w:sz w:val="22"/>
          <w:szCs w:val="22"/>
        </w:rPr>
      </w:pPr>
      <w:r w:rsidRPr="002129AC">
        <w:rPr>
          <w:sz w:val="22"/>
          <w:szCs w:val="22"/>
        </w:rPr>
        <w:t>The robust design, with capacitive multi-touch and IP66 degree of protection, stands up to even harsh industrial environments. With display sizes ranging from 7 to 21.5 inches, users can choose the right variant depending on their machine and application. Communication drivers for OPC-UA, Modbus, Codesys, Allen-Bradley or Siemens-TIA controllers simplify integration into existing automation environments.</w:t>
      </w:r>
    </w:p>
    <w:p w14:paraId="5065AC12" w14:textId="65499E40" w:rsidR="009C6314" w:rsidRPr="002129AC" w:rsidRDefault="009C6314" w:rsidP="002129AC">
      <w:pPr>
        <w:spacing w:line="360" w:lineRule="auto"/>
        <w:rPr>
          <w:sz w:val="22"/>
          <w:szCs w:val="22"/>
        </w:rPr>
      </w:pPr>
      <w:r w:rsidRPr="002129AC">
        <w:rPr>
          <w:sz w:val="22"/>
          <w:szCs w:val="22"/>
        </w:rPr>
        <w:t>Users benefit from better flexibility when creating an HMI as well: pre-defined widgets, dynamic SVG elements and complex controls like wizards or trends make it easier to create modern user interfaces according to current UI/UX standards. Functions also include data archiving, trend visualisation, and a comprehensive roles and permissions concept. In addition, PROCON-WEB offers options for automated creation of complete projects or parts of projects.</w:t>
      </w:r>
    </w:p>
    <w:p w14:paraId="678720CD" w14:textId="28465D44" w:rsidR="009C6314" w:rsidRPr="002129AC" w:rsidRDefault="009C6314" w:rsidP="002129AC">
      <w:pPr>
        <w:spacing w:line="360" w:lineRule="auto"/>
        <w:rPr>
          <w:sz w:val="22"/>
          <w:szCs w:val="22"/>
        </w:rPr>
      </w:pPr>
      <w:r w:rsidRPr="002129AC">
        <w:rPr>
          <w:sz w:val="22"/>
          <w:szCs w:val="22"/>
        </w:rPr>
        <w:t>As another advantage, Weidmüller provides launch support with customised trainings, and supports the migration of complete projects – a key aspect when transferring existing applications to a web-based solution.</w:t>
      </w:r>
    </w:p>
    <w:p w14:paraId="460258C0" w14:textId="751678B6" w:rsidR="009C6314" w:rsidRPr="002129AC" w:rsidRDefault="009C6314" w:rsidP="002129AC">
      <w:pPr>
        <w:spacing w:line="360" w:lineRule="auto"/>
        <w:rPr>
          <w:sz w:val="22"/>
          <w:szCs w:val="22"/>
        </w:rPr>
      </w:pPr>
      <w:r w:rsidRPr="002129AC">
        <w:rPr>
          <w:sz w:val="22"/>
          <w:szCs w:val="22"/>
        </w:rPr>
        <w:lastRenderedPageBreak/>
        <w:t>The new touch panel provides users with not only a robust and reliable operating solution, but also a quick way to get started with web-based machine visualisation – forward-thinking, flexible, and optimally tailored to the needs of modern automation.</w:t>
      </w:r>
    </w:p>
    <w:p w14:paraId="1849FAB5" w14:textId="5C760B81" w:rsidR="00B272F9" w:rsidRDefault="00373ECA" w:rsidP="00373ECA">
      <w:pPr>
        <w:spacing w:line="360" w:lineRule="auto"/>
        <w:ind w:right="-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2160 </w:t>
      </w:r>
      <w:r w:rsidRPr="4EBA6386">
        <w:rPr>
          <w:sz w:val="18"/>
          <w:szCs w:val="18"/>
        </w:rPr>
        <w:t>characters including spaces</w:t>
      </w:r>
    </w:p>
    <w:p w14:paraId="445C4298" w14:textId="45DE125C" w:rsidR="00B272F9" w:rsidRPr="000731C5" w:rsidRDefault="00B272F9" w:rsidP="00373ECA">
      <w:pPr>
        <w:spacing w:line="360" w:lineRule="auto"/>
        <w:ind w:right="-851"/>
        <w:jc w:val="both"/>
        <w:rPr>
          <w:sz w:val="18"/>
        </w:rPr>
      </w:pPr>
      <w:r>
        <w:rPr>
          <w:noProof/>
          <w:sz w:val="18"/>
          <w:szCs w:val="18"/>
        </w:rPr>
        <w:drawing>
          <wp:inline distT="0" distB="0" distL="0" distR="0" wp14:anchorId="7373234B" wp14:editId="231DE637">
            <wp:extent cx="4857750" cy="3867150"/>
            <wp:effectExtent l="0" t="0" r="0" b="0"/>
            <wp:docPr id="248594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E8A4F" w14:textId="44B7712B" w:rsidR="00373ECA" w:rsidRDefault="00373ECA" w:rsidP="00F607F1">
      <w:pPr>
        <w:spacing w:line="360" w:lineRule="auto"/>
        <w:ind w:right="-851"/>
        <w:jc w:val="both"/>
        <w:rPr>
          <w:szCs w:val="20"/>
        </w:rPr>
      </w:pPr>
      <w:bookmarkStart w:id="0" w:name="_Hlk123550621"/>
      <w:r w:rsidRPr="004F5945">
        <w:rPr>
          <w:szCs w:val="20"/>
          <w:lang w:val="en-US"/>
        </w:rPr>
        <w:t>Image caption:</w:t>
      </w:r>
      <w:bookmarkEnd w:id="0"/>
      <w:r w:rsidR="007E1819" w:rsidRPr="004F5945">
        <w:rPr>
          <w:szCs w:val="20"/>
          <w:lang w:val="en-US"/>
        </w:rPr>
        <w:t xml:space="preserve"> </w:t>
      </w:r>
      <w:r w:rsidR="007E1819" w:rsidRPr="004F5945">
        <w:rPr>
          <w:szCs w:val="20"/>
        </w:rPr>
        <w:t>In addition to the dedicated local screen, other web-capable devices such as tablets or PCs can access the HMI.</w:t>
      </w:r>
    </w:p>
    <w:p w14:paraId="0149E670" w14:textId="77777777" w:rsidR="00F607F1" w:rsidRPr="00F607F1" w:rsidRDefault="00F607F1" w:rsidP="00F607F1">
      <w:pPr>
        <w:spacing w:line="360" w:lineRule="auto"/>
        <w:ind w:right="-851"/>
        <w:jc w:val="both"/>
        <w:rPr>
          <w:szCs w:val="20"/>
        </w:rPr>
      </w:pPr>
    </w:p>
    <w:p w14:paraId="317CD3D0" w14:textId="77777777" w:rsidR="00373ECA" w:rsidRDefault="00373ECA" w:rsidP="00373ECA">
      <w:pPr>
        <w:spacing w:line="360" w:lineRule="auto"/>
        <w:jc w:val="both"/>
      </w:pPr>
      <w:r w:rsidRPr="3E670301">
        <w:rPr>
          <w:rFonts w:eastAsia="Arial"/>
          <w:b/>
          <w:bCs/>
          <w:sz w:val="18"/>
          <w:szCs w:val="18"/>
          <w:lang w:val="en-US"/>
        </w:rPr>
        <w:t>The Weidmüller Group</w:t>
      </w:r>
    </w:p>
    <w:p w14:paraId="1CD6A79C" w14:textId="77777777" w:rsidR="00373ECA" w:rsidRDefault="00373ECA" w:rsidP="00373ECA">
      <w:pPr>
        <w:spacing w:line="360" w:lineRule="auto"/>
        <w:jc w:val="both"/>
        <w:rPr>
          <w:rFonts w:eastAsia="Arial"/>
          <w:b/>
          <w:sz w:val="18"/>
          <w:szCs w:val="18"/>
          <w:lang w:val="en-US"/>
        </w:rPr>
      </w:pPr>
      <w:r w:rsidRPr="3E670301">
        <w:rPr>
          <w:rFonts w:eastAsia="Arial"/>
          <w:b/>
          <w:bCs/>
          <w:sz w:val="18"/>
          <w:szCs w:val="18"/>
          <w:lang w:val="en-US"/>
        </w:rPr>
        <w:t xml:space="preserve"> </w:t>
      </w:r>
    </w:p>
    <w:p w14:paraId="71E8C55D" w14:textId="77777777" w:rsidR="00373ECA" w:rsidRDefault="00373ECA" w:rsidP="00373ECA">
      <w:pPr>
        <w:shd w:val="clear" w:color="auto" w:fill="FFFFFF" w:themeFill="background1"/>
        <w:spacing w:after="378" w:line="360" w:lineRule="auto"/>
        <w:jc w:val="both"/>
        <w:rPr>
          <w:rFonts w:eastAsia="Arial"/>
          <w:color w:val="323130"/>
          <w:sz w:val="18"/>
          <w:szCs w:val="18"/>
        </w:rPr>
      </w:pPr>
      <w:r w:rsidRPr="73FCBFAD">
        <w:rPr>
          <w:rFonts w:eastAsia="Arial"/>
          <w:color w:val="323130"/>
          <w:sz w:val="18"/>
          <w:szCs w:val="18"/>
        </w:rPr>
        <w:t xml:space="preserve">Smart Industrial Connectivity: Electrification, automation, digitalisation, electrical connectivity and renewable energies – markets in which Weidmüller feels right at home. The family-owned company established in 1850 has production facilities and sales companies in over 80 countries. As a global player in electric connection technology, Weidmüller achieved a turnover of almost one billion euros in the 2024 financial year with around 5,700 employees worldwide - around 2,000 of whom work at the company's headquarters in Detmold, in the heart of East Westphalia-Lippe, Germany. What Weidmüller lives by: </w:t>
      </w:r>
      <w:hyperlink r:id="rId11" w:anchor="wm-1246253">
        <w:r w:rsidRPr="73FCBFAD">
          <w:rPr>
            <w:rFonts w:asciiTheme="minorHAnsi" w:eastAsiaTheme="minorEastAsia" w:hAnsiTheme="minorHAnsi" w:cstheme="minorBidi"/>
            <w:color w:val="0000FF"/>
            <w:sz w:val="18"/>
            <w:szCs w:val="18"/>
          </w:rPr>
          <w:t>Diversity with respect</w:t>
        </w:r>
      </w:hyperlink>
      <w:r w:rsidRPr="73FCBFAD">
        <w:rPr>
          <w:rFonts w:asciiTheme="minorHAnsi" w:eastAsiaTheme="minorEastAsia" w:hAnsiTheme="minorHAnsi" w:cstheme="minorBidi"/>
          <w:color w:val="0000FF"/>
          <w:sz w:val="18"/>
          <w:szCs w:val="18"/>
        </w:rPr>
        <w:t>.</w:t>
      </w:r>
    </w:p>
    <w:p w14:paraId="09E87BBF" w14:textId="77777777" w:rsidR="00373ECA" w:rsidRDefault="00373ECA" w:rsidP="00373ECA">
      <w:pPr>
        <w:shd w:val="clear" w:color="auto" w:fill="FFFFFF" w:themeFill="background1"/>
        <w:spacing w:line="360" w:lineRule="auto"/>
        <w:jc w:val="both"/>
        <w:rPr>
          <w:rFonts w:eastAsia="Arial"/>
          <w:color w:val="323130"/>
          <w:sz w:val="18"/>
          <w:szCs w:val="18"/>
        </w:rPr>
      </w:pPr>
      <w:r w:rsidRPr="73FCBFAD">
        <w:rPr>
          <w:rFonts w:eastAsia="Arial"/>
          <w:color w:val="323130"/>
          <w:sz w:val="18"/>
          <w:szCs w:val="18"/>
        </w:rPr>
        <w:lastRenderedPageBreak/>
        <w:t xml:space="preserve">Technologies and engagement for a liveable future - Weidmüller demonstrates how it approaches the topic of sustainability in its interactive </w:t>
      </w:r>
      <w:hyperlink r:id="rId12">
        <w:r w:rsidRPr="73FCBFAD">
          <w:rPr>
            <w:rFonts w:asciiTheme="minorHAnsi" w:eastAsiaTheme="minorEastAsia" w:hAnsiTheme="minorHAnsi" w:cstheme="minorBidi"/>
            <w:color w:val="0000FF"/>
            <w:sz w:val="18"/>
            <w:szCs w:val="18"/>
          </w:rPr>
          <w:t>sustainability brochure</w:t>
        </w:r>
      </w:hyperlink>
      <w:r w:rsidRPr="73FCBFAD">
        <w:rPr>
          <w:rFonts w:asciiTheme="minorHAnsi" w:eastAsiaTheme="minorEastAsia" w:hAnsiTheme="minorHAnsi" w:cstheme="minorBidi"/>
          <w:color w:val="0000FF"/>
          <w:sz w:val="18"/>
          <w:szCs w:val="18"/>
        </w:rPr>
        <w:t>.</w:t>
      </w:r>
    </w:p>
    <w:p w14:paraId="36E004B6" w14:textId="77777777" w:rsidR="00373ECA" w:rsidRDefault="00373ECA" w:rsidP="00373ECA">
      <w:pPr>
        <w:spacing w:line="360" w:lineRule="auto"/>
        <w:jc w:val="both"/>
        <w:rPr>
          <w:rFonts w:eastAsia="Arial"/>
          <w:color w:val="000000" w:themeColor="text1"/>
          <w:sz w:val="18"/>
          <w:szCs w:val="18"/>
          <w:lang w:val="en-US"/>
        </w:rPr>
      </w:pPr>
    </w:p>
    <w:p w14:paraId="4B21880B" w14:textId="77777777" w:rsidR="00373ECA" w:rsidRDefault="00373ECA" w:rsidP="00373ECA">
      <w:pPr>
        <w:spacing w:line="360" w:lineRule="auto"/>
        <w:jc w:val="both"/>
      </w:pPr>
    </w:p>
    <w:p w14:paraId="606CE43D" w14:textId="77777777" w:rsidR="00373ECA" w:rsidRDefault="00373ECA" w:rsidP="00373ECA">
      <w:pPr>
        <w:tabs>
          <w:tab w:val="left" w:pos="1701"/>
        </w:tabs>
        <w:spacing w:line="360" w:lineRule="auto"/>
        <w:jc w:val="both"/>
      </w:pPr>
      <w:r w:rsidRPr="3E670301">
        <w:rPr>
          <w:rFonts w:eastAsia="Arial"/>
          <w:b/>
          <w:bCs/>
          <w:sz w:val="18"/>
          <w:szCs w:val="18"/>
          <w:lang w:val="en-US"/>
        </w:rPr>
        <w:t>Your contact person:</w:t>
      </w:r>
      <w:r w:rsidRPr="3E670301">
        <w:rPr>
          <w:rFonts w:eastAsia="Arial"/>
          <w:sz w:val="18"/>
          <w:szCs w:val="18"/>
          <w:lang w:val="en-US"/>
        </w:rPr>
        <w:t xml:space="preserve"> </w:t>
      </w:r>
      <w:r>
        <w:tab/>
      </w:r>
      <w:r>
        <w:tab/>
      </w:r>
      <w:r w:rsidRPr="3E670301">
        <w:rPr>
          <w:rFonts w:eastAsia="Arial"/>
          <w:sz w:val="18"/>
          <w:szCs w:val="18"/>
          <w:lang w:val="en-US"/>
        </w:rPr>
        <w:t>Weidmüller Corporate Communications</w:t>
      </w:r>
    </w:p>
    <w:p w14:paraId="4C7CD49F" w14:textId="77777777" w:rsidR="00373ECA" w:rsidRDefault="00373ECA" w:rsidP="00373ECA">
      <w:pPr>
        <w:tabs>
          <w:tab w:val="left" w:pos="1701"/>
        </w:tabs>
        <w:spacing w:line="360" w:lineRule="auto"/>
        <w:ind w:left="2124" w:firstLine="708"/>
        <w:jc w:val="both"/>
        <w:rPr>
          <w:rFonts w:eastAsia="Arial"/>
          <w:sz w:val="18"/>
          <w:szCs w:val="18"/>
          <w:lang w:val="en-US"/>
        </w:rPr>
      </w:pPr>
      <w:r w:rsidRPr="0570D093">
        <w:rPr>
          <w:rFonts w:eastAsia="Arial"/>
          <w:sz w:val="18"/>
          <w:szCs w:val="18"/>
          <w:lang w:val="en-US"/>
        </w:rPr>
        <w:t>Marc Ladermann, Head of Corporate Communication</w:t>
      </w:r>
    </w:p>
    <w:p w14:paraId="6BF5B725" w14:textId="77777777" w:rsidR="00373ECA" w:rsidRPr="002E7929" w:rsidRDefault="00373ECA" w:rsidP="00373ECA">
      <w:pPr>
        <w:tabs>
          <w:tab w:val="left" w:pos="1701"/>
        </w:tabs>
        <w:spacing w:line="360" w:lineRule="auto"/>
        <w:ind w:left="2124" w:firstLine="708"/>
        <w:jc w:val="both"/>
        <w:rPr>
          <w:rFonts w:eastAsia="Arial"/>
          <w:sz w:val="18"/>
          <w:szCs w:val="18"/>
          <w:lang w:val="en-US"/>
        </w:rPr>
      </w:pPr>
      <w:r w:rsidRPr="15259608">
        <w:rPr>
          <w:rFonts w:eastAsia="Arial"/>
          <w:sz w:val="18"/>
          <w:szCs w:val="18"/>
          <w:lang w:val="en-US"/>
        </w:rPr>
        <w:t>Tel.: +49 5231 14-292322</w:t>
      </w:r>
    </w:p>
    <w:p w14:paraId="4C7FE90C" w14:textId="77777777" w:rsidR="00373ECA" w:rsidRDefault="00373ECA" w:rsidP="00373ECA">
      <w:pPr>
        <w:tabs>
          <w:tab w:val="left" w:pos="1134"/>
          <w:tab w:val="left" w:pos="1701"/>
        </w:tabs>
        <w:spacing w:line="360" w:lineRule="auto"/>
        <w:ind w:left="2124" w:firstLine="708"/>
        <w:jc w:val="both"/>
      </w:pPr>
      <w:r w:rsidRPr="15259608">
        <w:rPr>
          <w:rFonts w:eastAsia="Arial"/>
          <w:sz w:val="18"/>
          <w:szCs w:val="18"/>
          <w:lang w:val="en-US"/>
        </w:rPr>
        <w:t xml:space="preserve">Email: </w:t>
      </w:r>
      <w:hyperlink r:id="rId13">
        <w:r w:rsidRPr="15259608">
          <w:rPr>
            <w:rStyle w:val="Hyperlink"/>
            <w:rFonts w:eastAsia="Arial"/>
            <w:sz w:val="18"/>
            <w:szCs w:val="18"/>
            <w:lang w:val="en-US"/>
          </w:rPr>
          <w:t>presse@weidmueller.com</w:t>
        </w:r>
      </w:hyperlink>
    </w:p>
    <w:p w14:paraId="488AD518" w14:textId="77777777" w:rsidR="00442CAD" w:rsidRPr="002129AC" w:rsidRDefault="00442CAD" w:rsidP="002129AC">
      <w:pPr>
        <w:spacing w:line="360" w:lineRule="auto"/>
        <w:rPr>
          <w:sz w:val="22"/>
          <w:szCs w:val="22"/>
        </w:rPr>
      </w:pPr>
    </w:p>
    <w:p w14:paraId="5F1CD6A8" w14:textId="77777777" w:rsidR="00376030" w:rsidRPr="002129AC" w:rsidRDefault="00376030" w:rsidP="002129AC">
      <w:pPr>
        <w:spacing w:line="360" w:lineRule="auto"/>
        <w:rPr>
          <w:sz w:val="22"/>
          <w:szCs w:val="22"/>
        </w:rPr>
      </w:pPr>
    </w:p>
    <w:p w14:paraId="22A9CE74" w14:textId="77777777" w:rsidR="00442CAD" w:rsidRPr="002129AC" w:rsidRDefault="00442CAD" w:rsidP="002129AC">
      <w:pPr>
        <w:spacing w:line="360" w:lineRule="auto"/>
        <w:rPr>
          <w:sz w:val="22"/>
          <w:szCs w:val="22"/>
        </w:rPr>
      </w:pPr>
    </w:p>
    <w:p w14:paraId="077DC87F" w14:textId="179FCB29" w:rsidR="00442CAD" w:rsidRPr="002129AC" w:rsidRDefault="00442CAD" w:rsidP="002129AC">
      <w:pPr>
        <w:spacing w:line="360" w:lineRule="auto"/>
        <w:rPr>
          <w:sz w:val="22"/>
          <w:szCs w:val="22"/>
        </w:rPr>
      </w:pPr>
    </w:p>
    <w:p w14:paraId="1BAF141E" w14:textId="77777777" w:rsidR="00442CAD" w:rsidRPr="002129AC" w:rsidRDefault="00442CAD" w:rsidP="002129AC">
      <w:pPr>
        <w:spacing w:line="360" w:lineRule="auto"/>
        <w:rPr>
          <w:sz w:val="22"/>
          <w:szCs w:val="22"/>
        </w:rPr>
      </w:pPr>
    </w:p>
    <w:p w14:paraId="674E8981" w14:textId="77777777" w:rsidR="00442CAD" w:rsidRPr="002129AC" w:rsidRDefault="00442CAD" w:rsidP="002129AC">
      <w:pPr>
        <w:spacing w:line="360" w:lineRule="auto"/>
        <w:rPr>
          <w:sz w:val="22"/>
          <w:szCs w:val="22"/>
        </w:rPr>
      </w:pPr>
    </w:p>
    <w:p w14:paraId="47CCFE1A" w14:textId="77777777" w:rsidR="00442CAD" w:rsidRPr="002129AC" w:rsidRDefault="00442CAD" w:rsidP="002129AC">
      <w:pPr>
        <w:spacing w:line="360" w:lineRule="auto"/>
        <w:rPr>
          <w:sz w:val="22"/>
          <w:szCs w:val="22"/>
        </w:rPr>
      </w:pPr>
    </w:p>
    <w:p w14:paraId="2A971A83" w14:textId="77777777" w:rsidR="00442CAD" w:rsidRPr="002129AC" w:rsidRDefault="00442CAD" w:rsidP="002129AC">
      <w:pPr>
        <w:spacing w:line="360" w:lineRule="auto"/>
        <w:rPr>
          <w:sz w:val="22"/>
          <w:szCs w:val="22"/>
        </w:rPr>
      </w:pPr>
    </w:p>
    <w:p w14:paraId="260A5BD6" w14:textId="77777777" w:rsidR="00442CAD" w:rsidRPr="002129AC" w:rsidRDefault="00442CAD" w:rsidP="002129AC">
      <w:pPr>
        <w:spacing w:line="360" w:lineRule="auto"/>
        <w:rPr>
          <w:sz w:val="22"/>
          <w:szCs w:val="22"/>
        </w:rPr>
      </w:pPr>
    </w:p>
    <w:p w14:paraId="20DE27C3" w14:textId="3047257E" w:rsidR="00442CAD" w:rsidRPr="009C6314" w:rsidRDefault="00442CAD"/>
    <w:sectPr w:rsidR="00442CAD" w:rsidRPr="009C6314" w:rsidSect="00FA4A12">
      <w:headerReference w:type="default" r:id="rId14"/>
      <w:pgSz w:w="11906" w:h="16838"/>
      <w:pgMar w:top="2552" w:right="2835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1D101" w14:textId="77777777" w:rsidR="00A37B26" w:rsidRDefault="00A37B26" w:rsidP="002129AC">
      <w:pPr>
        <w:spacing w:after="0" w:line="240" w:lineRule="auto"/>
      </w:pPr>
      <w:r>
        <w:separator/>
      </w:r>
    </w:p>
  </w:endnote>
  <w:endnote w:type="continuationSeparator" w:id="0">
    <w:p w14:paraId="78DAE64D" w14:textId="77777777" w:rsidR="00A37B26" w:rsidRDefault="00A37B26" w:rsidP="00212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4157A" w14:textId="77777777" w:rsidR="00A37B26" w:rsidRDefault="00A37B26" w:rsidP="002129AC">
      <w:pPr>
        <w:spacing w:after="0" w:line="240" w:lineRule="auto"/>
      </w:pPr>
      <w:r>
        <w:separator/>
      </w:r>
    </w:p>
  </w:footnote>
  <w:footnote w:type="continuationSeparator" w:id="0">
    <w:p w14:paraId="21B77AB0" w14:textId="77777777" w:rsidR="00A37B26" w:rsidRDefault="00A37B26" w:rsidP="00212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960C" w14:textId="77777777" w:rsidR="002129AC" w:rsidRPr="00A76EBC" w:rsidRDefault="002129AC" w:rsidP="002129AC">
    <w:pPr>
      <w:pStyle w:val="Kopfzeile"/>
    </w:pPr>
    <w:r>
      <w:rPr>
        <w:sz w:val="32"/>
      </w:rPr>
      <w:t>Press Release</w:t>
    </w:r>
    <w:r>
      <w:rPr>
        <w:b/>
        <w:sz w:val="32"/>
      </w:rPr>
      <w:tab/>
    </w:r>
    <w:r>
      <w:rPr>
        <w:b/>
        <w:sz w:val="32"/>
      </w:rP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6D8B0806" wp14:editId="09BFBAD4">
          <wp:simplePos x="0" y="0"/>
          <wp:positionH relativeFrom="column">
            <wp:posOffset>3328670</wp:posOffset>
          </wp:positionH>
          <wp:positionV relativeFrom="paragraph">
            <wp:posOffset>-71755</wp:posOffset>
          </wp:positionV>
          <wp:extent cx="1657350" cy="333375"/>
          <wp:effectExtent l="0" t="0" r="0" b="0"/>
          <wp:wrapTight wrapText="bothSides">
            <wp:wrapPolygon edited="0">
              <wp:start x="16883" y="3703"/>
              <wp:lineTo x="1241" y="6171"/>
              <wp:lineTo x="1490" y="17280"/>
              <wp:lineTo x="20110" y="17280"/>
              <wp:lineTo x="20110" y="3703"/>
              <wp:lineTo x="16883" y="3703"/>
            </wp:wrapPolygon>
          </wp:wrapTight>
          <wp:docPr id="6" name="Grafik 6" descr="\\srvde068\Desktop\w010711\03_WM_OB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srvde068\Desktop\w010711\03_WM_OB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49E06B" w14:textId="77777777" w:rsidR="002129AC" w:rsidRDefault="002129A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06040"/>
    <w:multiLevelType w:val="hybridMultilevel"/>
    <w:tmpl w:val="5AEEBCE0"/>
    <w:lvl w:ilvl="0" w:tplc="0C9E6998">
      <w:start w:val="2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  <w:color w:val="000000" w:themeColor="text1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12D06"/>
    <w:multiLevelType w:val="hybridMultilevel"/>
    <w:tmpl w:val="61E2B674"/>
    <w:lvl w:ilvl="0" w:tplc="9DFEABD4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576438">
    <w:abstractNumId w:val="0"/>
  </w:num>
  <w:num w:numId="2" w16cid:durableId="788857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AD"/>
    <w:rsid w:val="00006733"/>
    <w:rsid w:val="001141F5"/>
    <w:rsid w:val="00127804"/>
    <w:rsid w:val="00183FCA"/>
    <w:rsid w:val="001E658D"/>
    <w:rsid w:val="002129AC"/>
    <w:rsid w:val="00231DFD"/>
    <w:rsid w:val="00245891"/>
    <w:rsid w:val="00280D7F"/>
    <w:rsid w:val="00287375"/>
    <w:rsid w:val="002E234C"/>
    <w:rsid w:val="002F3B5E"/>
    <w:rsid w:val="003236A9"/>
    <w:rsid w:val="00326A47"/>
    <w:rsid w:val="00347AF7"/>
    <w:rsid w:val="00373ECA"/>
    <w:rsid w:val="00376030"/>
    <w:rsid w:val="00376205"/>
    <w:rsid w:val="003C5297"/>
    <w:rsid w:val="003D6B2F"/>
    <w:rsid w:val="0040718D"/>
    <w:rsid w:val="004160F0"/>
    <w:rsid w:val="00420FC5"/>
    <w:rsid w:val="00426936"/>
    <w:rsid w:val="00426C04"/>
    <w:rsid w:val="00442CAD"/>
    <w:rsid w:val="00467E5E"/>
    <w:rsid w:val="00477B1E"/>
    <w:rsid w:val="004A7817"/>
    <w:rsid w:val="004B3E08"/>
    <w:rsid w:val="004D1FED"/>
    <w:rsid w:val="004D7A45"/>
    <w:rsid w:val="004F522F"/>
    <w:rsid w:val="004F5945"/>
    <w:rsid w:val="004F6901"/>
    <w:rsid w:val="00504588"/>
    <w:rsid w:val="00547C08"/>
    <w:rsid w:val="00565B91"/>
    <w:rsid w:val="00596A2F"/>
    <w:rsid w:val="005D0548"/>
    <w:rsid w:val="006111E5"/>
    <w:rsid w:val="00611B0D"/>
    <w:rsid w:val="006321F5"/>
    <w:rsid w:val="006503E4"/>
    <w:rsid w:val="00655223"/>
    <w:rsid w:val="007020EF"/>
    <w:rsid w:val="00757C57"/>
    <w:rsid w:val="007766EA"/>
    <w:rsid w:val="007E1819"/>
    <w:rsid w:val="008828B5"/>
    <w:rsid w:val="008E2E57"/>
    <w:rsid w:val="008F3244"/>
    <w:rsid w:val="00956E94"/>
    <w:rsid w:val="00990E7A"/>
    <w:rsid w:val="009C6314"/>
    <w:rsid w:val="00A32E96"/>
    <w:rsid w:val="00A36470"/>
    <w:rsid w:val="00A37B26"/>
    <w:rsid w:val="00A52C79"/>
    <w:rsid w:val="00AE0AD3"/>
    <w:rsid w:val="00B0221D"/>
    <w:rsid w:val="00B166C1"/>
    <w:rsid w:val="00B272F9"/>
    <w:rsid w:val="00B70FB9"/>
    <w:rsid w:val="00B86060"/>
    <w:rsid w:val="00BA196B"/>
    <w:rsid w:val="00CB004A"/>
    <w:rsid w:val="00CB39DE"/>
    <w:rsid w:val="00CF4B55"/>
    <w:rsid w:val="00D005CD"/>
    <w:rsid w:val="00D03C9A"/>
    <w:rsid w:val="00D15ECE"/>
    <w:rsid w:val="00D244CD"/>
    <w:rsid w:val="00D449B0"/>
    <w:rsid w:val="00D44AD5"/>
    <w:rsid w:val="00D453C7"/>
    <w:rsid w:val="00DA5DFC"/>
    <w:rsid w:val="00DE0FDC"/>
    <w:rsid w:val="00E32F5D"/>
    <w:rsid w:val="00E42DA9"/>
    <w:rsid w:val="00EA009E"/>
    <w:rsid w:val="00EC13AE"/>
    <w:rsid w:val="00EE0B4C"/>
    <w:rsid w:val="00EF517D"/>
    <w:rsid w:val="00EF5E96"/>
    <w:rsid w:val="00EF7E33"/>
    <w:rsid w:val="00F607F1"/>
    <w:rsid w:val="00F73C3F"/>
    <w:rsid w:val="00F74CBA"/>
    <w:rsid w:val="00F835D3"/>
    <w:rsid w:val="00F95B12"/>
    <w:rsid w:val="00FA4A12"/>
    <w:rsid w:val="00FA6B25"/>
    <w:rsid w:val="00FE32F1"/>
    <w:rsid w:val="00FE6197"/>
    <w:rsid w:val="021555BC"/>
    <w:rsid w:val="02970537"/>
    <w:rsid w:val="03C5741E"/>
    <w:rsid w:val="060D4171"/>
    <w:rsid w:val="06AC38B4"/>
    <w:rsid w:val="0848FB59"/>
    <w:rsid w:val="1021170F"/>
    <w:rsid w:val="15F665E4"/>
    <w:rsid w:val="19EE05D6"/>
    <w:rsid w:val="1D18396F"/>
    <w:rsid w:val="1F18FF9E"/>
    <w:rsid w:val="20F11E8F"/>
    <w:rsid w:val="2149E18A"/>
    <w:rsid w:val="229456C5"/>
    <w:rsid w:val="233B5F13"/>
    <w:rsid w:val="245337CC"/>
    <w:rsid w:val="26354199"/>
    <w:rsid w:val="26E1DAFA"/>
    <w:rsid w:val="278B420F"/>
    <w:rsid w:val="28FD7952"/>
    <w:rsid w:val="2C4AAE56"/>
    <w:rsid w:val="2F4BFBD5"/>
    <w:rsid w:val="31A7D544"/>
    <w:rsid w:val="3279E8BD"/>
    <w:rsid w:val="35FD9DFB"/>
    <w:rsid w:val="395816C8"/>
    <w:rsid w:val="3A2E6AA1"/>
    <w:rsid w:val="3C4C73C1"/>
    <w:rsid w:val="3DF883D2"/>
    <w:rsid w:val="3EE67CB6"/>
    <w:rsid w:val="417B995E"/>
    <w:rsid w:val="42F5F56C"/>
    <w:rsid w:val="47CE3B0C"/>
    <w:rsid w:val="484DB31F"/>
    <w:rsid w:val="49FD31F5"/>
    <w:rsid w:val="4E8CD922"/>
    <w:rsid w:val="4EC8B8F3"/>
    <w:rsid w:val="4F3CE5B0"/>
    <w:rsid w:val="52904AB8"/>
    <w:rsid w:val="55056E34"/>
    <w:rsid w:val="5537891C"/>
    <w:rsid w:val="56FEB4BF"/>
    <w:rsid w:val="5823F576"/>
    <w:rsid w:val="5ABD26AB"/>
    <w:rsid w:val="5BB5F282"/>
    <w:rsid w:val="5E14B34B"/>
    <w:rsid w:val="5FE494EC"/>
    <w:rsid w:val="61076BC0"/>
    <w:rsid w:val="61E787F3"/>
    <w:rsid w:val="63070A2D"/>
    <w:rsid w:val="64972D7B"/>
    <w:rsid w:val="695B4A8F"/>
    <w:rsid w:val="697E3F89"/>
    <w:rsid w:val="69AA94E9"/>
    <w:rsid w:val="6D068C36"/>
    <w:rsid w:val="6D96BC5E"/>
    <w:rsid w:val="6F9FD66B"/>
    <w:rsid w:val="74651B81"/>
    <w:rsid w:val="78933F30"/>
    <w:rsid w:val="7D05B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BED7"/>
  <w15:chartTrackingRefBased/>
  <w15:docId w15:val="{1B41AAF8-A5B3-4228-A27E-E6A0FBF1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2CAD"/>
  </w:style>
  <w:style w:type="paragraph" w:styleId="berschrift1">
    <w:name w:val="heading 1"/>
    <w:basedOn w:val="Standard"/>
    <w:next w:val="Standard"/>
    <w:link w:val="berschrift1Zchn"/>
    <w:uiPriority w:val="9"/>
    <w:qFormat/>
    <w:rsid w:val="00442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2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2C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2C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42C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42C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42C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42C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42C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42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2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2CA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2CA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2CA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2C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2C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2C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2CA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42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2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2C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2C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42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2CA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42CA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42CA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42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42CA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42CAD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442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de-DE"/>
      <w14:ligatures w14:val="none"/>
    </w:rPr>
  </w:style>
  <w:style w:type="paragraph" w:styleId="berarbeitung">
    <w:name w:val="Revision"/>
    <w:hidden/>
    <w:uiPriority w:val="99"/>
    <w:semiHidden/>
    <w:rsid w:val="004F6901"/>
    <w:pPr>
      <w:spacing w:after="0" w:line="240" w:lineRule="auto"/>
    </w:p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69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6936"/>
    <w:rPr>
      <w:b/>
      <w:bCs/>
      <w:szCs w:val="20"/>
    </w:rPr>
  </w:style>
  <w:style w:type="paragraph" w:styleId="Kopfzeile">
    <w:name w:val="header"/>
    <w:basedOn w:val="Standard"/>
    <w:link w:val="KopfzeileZchn"/>
    <w:unhideWhenUsed/>
    <w:rsid w:val="00212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2129AC"/>
  </w:style>
  <w:style w:type="paragraph" w:styleId="Fuzeile">
    <w:name w:val="footer"/>
    <w:basedOn w:val="Standard"/>
    <w:link w:val="FuzeileZchn"/>
    <w:uiPriority w:val="99"/>
    <w:unhideWhenUsed/>
    <w:rsid w:val="00212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29AC"/>
  </w:style>
  <w:style w:type="character" w:styleId="Hyperlink">
    <w:name w:val="Hyperlink"/>
    <w:basedOn w:val="Absatz-Standardschriftart"/>
    <w:rsid w:val="00373ECA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3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esse@weidmueller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weidmueller.com/sustainability-brochur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eidmueller.com/int/company/our_company/who_we_are/index.js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D80A8DCE954F49979EC30AE011DA79" ma:contentTypeVersion="20" ma:contentTypeDescription="Ein neues Dokument erstellen." ma:contentTypeScope="" ma:versionID="1768f131809b6f2ff257a9a3feac7a15">
  <xsd:schema xmlns:xsd="http://www.w3.org/2001/XMLSchema" xmlns:xs="http://www.w3.org/2001/XMLSchema" xmlns:p="http://schemas.microsoft.com/office/2006/metadata/properties" xmlns:ns2="dde8b94e-0d97-4c33-9139-0fa9dfaadaee" xmlns:ns3="ef0bd676-2fa1-4f90-9075-fcc9bbed01ad" targetNamespace="http://schemas.microsoft.com/office/2006/metadata/properties" ma:root="true" ma:fieldsID="823da50fa4d87210fa4b6605ce1b5908" ns2:_="" ns3:_="">
    <xsd:import namespace="dde8b94e-0d97-4c33-9139-0fa9dfaadaee"/>
    <xsd:import namespace="ef0bd676-2fa1-4f90-9075-fcc9bbed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8b94e-0d97-4c33-9139-0fa9dfaad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7d8ac53-89e9-4345-86e3-d26e55bef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d676-2fa1-4f90-9075-fcc9bbed0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798700-3cb1-4761-bf3d-c70519876de0}" ma:internalName="TaxCatchAll" ma:showField="CatchAllData" ma:web="ef0bd676-2fa1-4f90-9075-fcc9bbed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e8b94e-0d97-4c33-9139-0fa9dfaadaee">
      <Terms xmlns="http://schemas.microsoft.com/office/infopath/2007/PartnerControls"/>
    </lcf76f155ced4ddcb4097134ff3c332f>
    <TaxCatchAll xmlns="ef0bd676-2fa1-4f90-9075-fcc9bbed01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1F647B-C5EA-4BC6-BD77-F5A46C2B2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8b94e-0d97-4c33-9139-0fa9dfaadaee"/>
    <ds:schemaRef ds:uri="ef0bd676-2fa1-4f90-9075-fcc9bbed0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24CD8B-20BD-49AE-9E0A-330FD83CE214}">
  <ds:schemaRefs>
    <ds:schemaRef ds:uri="http://schemas.microsoft.com/office/2006/metadata/properties"/>
    <ds:schemaRef ds:uri="http://schemas.microsoft.com/office/infopath/2007/PartnerControls"/>
    <ds:schemaRef ds:uri="dde8b94e-0d97-4c33-9139-0fa9dfaadaee"/>
    <ds:schemaRef ds:uri="ef0bd676-2fa1-4f90-9075-fcc9bbed01ad"/>
  </ds:schemaRefs>
</ds:datastoreItem>
</file>

<file path=customXml/itemProps3.xml><?xml version="1.0" encoding="utf-8"?>
<ds:datastoreItem xmlns:ds="http://schemas.openxmlformats.org/officeDocument/2006/customXml" ds:itemID="{B3DFE66C-6EAE-46DC-A9A0-CB552EB72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u-view Touch Panels with PROCON-WEB</dc:title>
  <dc:subject/>
  <dc:creator>presse@weidmueller.com</dc:creator>
  <cp:keywords/>
  <dc:description/>
  <cp:lastModifiedBy>Bayer, Katharina</cp:lastModifiedBy>
  <cp:revision>13</cp:revision>
  <dcterms:created xsi:type="dcterms:W3CDTF">2025-11-11T13:53:00Z</dcterms:created>
  <dcterms:modified xsi:type="dcterms:W3CDTF">2025-11-12T07:26:00Z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0x0101007ED80A8DCE954F49979EC30AE011DA79</vt:lpwstr>
  </property>
  <property fmtid="{D5CDD505-2E9C-101B-9397-08002B2CF9AE}" pid="3" name="MediaServiceImageTags">
    <vt:lpwstr/>
  </property>
</Properties>
</file>